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B5" w:rsidRDefault="006E49B5" w:rsidP="002E5D4E">
      <w:pPr>
        <w:spacing w:after="0" w:line="240" w:lineRule="auto"/>
        <w:jc w:val="center"/>
        <w:rPr>
          <w:b/>
          <w:sz w:val="24"/>
          <w:szCs w:val="24"/>
        </w:rPr>
      </w:pPr>
      <w:r>
        <w:rPr>
          <w:b/>
          <w:sz w:val="24"/>
          <w:szCs w:val="24"/>
        </w:rPr>
        <w:t>“Silent Lustration”</w:t>
      </w:r>
      <w:r w:rsidR="007B50B0">
        <w:rPr>
          <w:b/>
          <w:sz w:val="24"/>
          <w:szCs w:val="24"/>
        </w:rPr>
        <w:t xml:space="preserve">: </w:t>
      </w:r>
    </w:p>
    <w:p w:rsidR="007B50B0" w:rsidRDefault="002D49EF" w:rsidP="002E5D4E">
      <w:pPr>
        <w:spacing w:after="0" w:line="240" w:lineRule="auto"/>
        <w:jc w:val="center"/>
        <w:rPr>
          <w:b/>
          <w:sz w:val="24"/>
          <w:szCs w:val="24"/>
        </w:rPr>
      </w:pPr>
      <w:r>
        <w:rPr>
          <w:b/>
          <w:sz w:val="24"/>
          <w:szCs w:val="24"/>
        </w:rPr>
        <w:t xml:space="preserve">Public Disclosures as </w:t>
      </w:r>
      <w:r w:rsidR="00457D11">
        <w:rPr>
          <w:b/>
          <w:sz w:val="24"/>
          <w:szCs w:val="24"/>
        </w:rPr>
        <w:t xml:space="preserve">Informal </w:t>
      </w:r>
      <w:r>
        <w:rPr>
          <w:b/>
          <w:sz w:val="24"/>
          <w:szCs w:val="24"/>
        </w:rPr>
        <w:t>Lustration Mechanisms</w:t>
      </w:r>
      <w:r w:rsidR="00964937">
        <w:rPr>
          <w:b/>
          <w:sz w:val="24"/>
          <w:szCs w:val="24"/>
        </w:rPr>
        <w:t xml:space="preserve"> </w:t>
      </w:r>
    </w:p>
    <w:p w:rsidR="0064274E" w:rsidRDefault="007B50B0" w:rsidP="002E5D4E">
      <w:pPr>
        <w:spacing w:after="0" w:line="240" w:lineRule="auto"/>
        <w:jc w:val="center"/>
        <w:rPr>
          <w:b/>
          <w:sz w:val="24"/>
          <w:szCs w:val="24"/>
        </w:rPr>
      </w:pPr>
      <w:proofErr w:type="gramStart"/>
      <w:r>
        <w:rPr>
          <w:b/>
          <w:sz w:val="24"/>
          <w:szCs w:val="24"/>
        </w:rPr>
        <w:t>in</w:t>
      </w:r>
      <w:proofErr w:type="gramEnd"/>
      <w:r>
        <w:rPr>
          <w:b/>
          <w:sz w:val="24"/>
          <w:szCs w:val="24"/>
        </w:rPr>
        <w:t xml:space="preserve"> Bulgaria and Romania</w:t>
      </w:r>
      <w:r w:rsidR="0064274E">
        <w:rPr>
          <w:rStyle w:val="EndnoteReference"/>
          <w:b/>
          <w:sz w:val="24"/>
          <w:szCs w:val="24"/>
        </w:rPr>
        <w:endnoteReference w:id="1"/>
      </w:r>
    </w:p>
    <w:p w:rsidR="0064274E" w:rsidRDefault="0064274E" w:rsidP="002E5D4E">
      <w:pPr>
        <w:spacing w:after="0" w:line="240" w:lineRule="auto"/>
        <w:jc w:val="center"/>
        <w:rPr>
          <w:b/>
          <w:sz w:val="24"/>
          <w:szCs w:val="24"/>
        </w:rPr>
      </w:pPr>
    </w:p>
    <w:p w:rsidR="002B6F93" w:rsidRDefault="002B6F93" w:rsidP="002E5D4E">
      <w:pPr>
        <w:spacing w:after="0" w:line="240" w:lineRule="auto"/>
        <w:jc w:val="center"/>
        <w:rPr>
          <w:b/>
          <w:sz w:val="24"/>
          <w:szCs w:val="24"/>
        </w:rPr>
      </w:pPr>
      <w:r>
        <w:rPr>
          <w:b/>
          <w:sz w:val="24"/>
          <w:szCs w:val="24"/>
        </w:rPr>
        <w:t>Cynthia M. Horne</w:t>
      </w:r>
    </w:p>
    <w:p w:rsidR="002B6F93" w:rsidRDefault="002B6F93" w:rsidP="002E5D4E">
      <w:pPr>
        <w:spacing w:after="0" w:line="240" w:lineRule="auto"/>
        <w:jc w:val="center"/>
        <w:rPr>
          <w:b/>
          <w:sz w:val="24"/>
          <w:szCs w:val="24"/>
        </w:rPr>
      </w:pPr>
      <w:r>
        <w:rPr>
          <w:b/>
          <w:sz w:val="24"/>
          <w:szCs w:val="24"/>
        </w:rPr>
        <w:t>Associate Professor</w:t>
      </w:r>
    </w:p>
    <w:p w:rsidR="002B6F93" w:rsidRDefault="002B6F93" w:rsidP="002E5D4E">
      <w:pPr>
        <w:spacing w:after="0" w:line="240" w:lineRule="auto"/>
        <w:jc w:val="center"/>
        <w:rPr>
          <w:b/>
          <w:sz w:val="24"/>
          <w:szCs w:val="24"/>
        </w:rPr>
      </w:pPr>
      <w:r>
        <w:rPr>
          <w:b/>
          <w:sz w:val="24"/>
          <w:szCs w:val="24"/>
        </w:rPr>
        <w:t>Department of Political Science</w:t>
      </w:r>
    </w:p>
    <w:p w:rsidR="002B6F93" w:rsidRDefault="002B6F93" w:rsidP="002E5D4E">
      <w:pPr>
        <w:spacing w:after="0" w:line="240" w:lineRule="auto"/>
        <w:jc w:val="center"/>
        <w:rPr>
          <w:b/>
          <w:sz w:val="24"/>
          <w:szCs w:val="24"/>
        </w:rPr>
      </w:pPr>
      <w:r>
        <w:rPr>
          <w:b/>
          <w:sz w:val="24"/>
          <w:szCs w:val="24"/>
        </w:rPr>
        <w:t>Western Washington University</w:t>
      </w:r>
    </w:p>
    <w:p w:rsidR="002B6F93" w:rsidRDefault="002B6F93" w:rsidP="002E5D4E">
      <w:pPr>
        <w:spacing w:after="0" w:line="240" w:lineRule="auto"/>
        <w:jc w:val="center"/>
        <w:rPr>
          <w:b/>
          <w:sz w:val="24"/>
          <w:szCs w:val="24"/>
        </w:rPr>
      </w:pPr>
      <w:r>
        <w:rPr>
          <w:b/>
          <w:sz w:val="24"/>
          <w:szCs w:val="24"/>
        </w:rPr>
        <w:t>516 High Street</w:t>
      </w:r>
    </w:p>
    <w:p w:rsidR="002B6F93" w:rsidRDefault="002B6F93" w:rsidP="002E5D4E">
      <w:pPr>
        <w:spacing w:after="0" w:line="240" w:lineRule="auto"/>
        <w:jc w:val="center"/>
        <w:rPr>
          <w:b/>
          <w:sz w:val="24"/>
          <w:szCs w:val="24"/>
        </w:rPr>
      </w:pPr>
      <w:r>
        <w:rPr>
          <w:b/>
          <w:sz w:val="24"/>
          <w:szCs w:val="24"/>
        </w:rPr>
        <w:t>Bellingham, WA  98225</w:t>
      </w:r>
    </w:p>
    <w:p w:rsidR="002B6F93" w:rsidRDefault="002B6F93" w:rsidP="002E5D4E">
      <w:pPr>
        <w:spacing w:after="0" w:line="240" w:lineRule="auto"/>
        <w:jc w:val="center"/>
        <w:rPr>
          <w:b/>
          <w:sz w:val="24"/>
          <w:szCs w:val="24"/>
        </w:rPr>
      </w:pPr>
      <w:hyperlink r:id="rId8" w:history="1">
        <w:r w:rsidRPr="00B86D91">
          <w:rPr>
            <w:rStyle w:val="Hyperlink"/>
            <w:b/>
            <w:sz w:val="24"/>
            <w:szCs w:val="24"/>
          </w:rPr>
          <w:t>Cynthia.Horne@wwu.edu</w:t>
        </w:r>
      </w:hyperlink>
    </w:p>
    <w:p w:rsidR="002B6F93" w:rsidRDefault="002B6F93" w:rsidP="002E5D4E">
      <w:pPr>
        <w:spacing w:after="0" w:line="240" w:lineRule="auto"/>
        <w:jc w:val="center"/>
        <w:rPr>
          <w:b/>
          <w:sz w:val="24"/>
          <w:szCs w:val="24"/>
        </w:rPr>
      </w:pPr>
    </w:p>
    <w:p w:rsidR="0064274E" w:rsidRDefault="0064274E" w:rsidP="00732E30">
      <w:pPr>
        <w:spacing w:after="0" w:line="480" w:lineRule="auto"/>
        <w:rPr>
          <w:b/>
          <w:sz w:val="24"/>
          <w:szCs w:val="24"/>
        </w:rPr>
      </w:pPr>
    </w:p>
    <w:p w:rsidR="0064274E" w:rsidRPr="002B6F93" w:rsidRDefault="002B6F93" w:rsidP="00732E30">
      <w:pPr>
        <w:spacing w:after="0" w:line="480" w:lineRule="auto"/>
        <w:rPr>
          <w:b/>
          <w:i/>
          <w:sz w:val="24"/>
          <w:szCs w:val="24"/>
        </w:rPr>
      </w:pPr>
      <w:r>
        <w:rPr>
          <w:b/>
          <w:sz w:val="24"/>
          <w:szCs w:val="24"/>
        </w:rPr>
        <w:t xml:space="preserve">Preprint version—May 2014.  </w:t>
      </w:r>
      <w:proofErr w:type="gramStart"/>
      <w:r>
        <w:rPr>
          <w:b/>
          <w:sz w:val="24"/>
          <w:szCs w:val="24"/>
        </w:rPr>
        <w:t xml:space="preserve">Forthcoming in </w:t>
      </w:r>
      <w:r>
        <w:rPr>
          <w:b/>
          <w:i/>
          <w:sz w:val="24"/>
          <w:szCs w:val="24"/>
        </w:rPr>
        <w:t>Problems of Post-Communism.</w:t>
      </w:r>
      <w:proofErr w:type="gramEnd"/>
      <w:r>
        <w:rPr>
          <w:b/>
          <w:i/>
          <w:sz w:val="24"/>
          <w:szCs w:val="24"/>
        </w:rPr>
        <w:t xml:space="preserve"> </w:t>
      </w:r>
    </w:p>
    <w:p w:rsidR="0064274E" w:rsidRDefault="0064274E" w:rsidP="00732E30">
      <w:pPr>
        <w:spacing w:after="0" w:line="480" w:lineRule="auto"/>
        <w:rPr>
          <w:b/>
          <w:sz w:val="24"/>
          <w:szCs w:val="24"/>
        </w:rPr>
      </w:pPr>
    </w:p>
    <w:p w:rsidR="0064274E" w:rsidRPr="00A8272A" w:rsidRDefault="0064274E" w:rsidP="00732E30">
      <w:pPr>
        <w:spacing w:after="0" w:line="240" w:lineRule="auto"/>
        <w:rPr>
          <w:b/>
          <w:sz w:val="24"/>
          <w:szCs w:val="24"/>
        </w:rPr>
      </w:pPr>
      <w:r w:rsidRPr="00A8272A">
        <w:rPr>
          <w:b/>
          <w:sz w:val="24"/>
          <w:szCs w:val="24"/>
        </w:rPr>
        <w:t>Abstract:</w:t>
      </w:r>
    </w:p>
    <w:p w:rsidR="0064274E" w:rsidRDefault="0064274E" w:rsidP="00732E30">
      <w:pPr>
        <w:spacing w:after="0" w:line="240" w:lineRule="auto"/>
        <w:rPr>
          <w:rFonts w:eastAsia="Times New Roman"/>
          <w:sz w:val="24"/>
          <w:szCs w:val="24"/>
        </w:rPr>
      </w:pPr>
      <w:r>
        <w:rPr>
          <w:sz w:val="24"/>
          <w:szCs w:val="24"/>
        </w:rPr>
        <w:t xml:space="preserve">Romania and Bulgaria have lagged behind other countries in Central and Eastern Europe in coming to terms with their communist pasts, thwarting or failing to implement lustration and public disclosure programs. However, starting in earnest in 2006-2008, the secret police file repository agencies in Romania and Bulgaria began reviewing the former secret police files of tens of </w:t>
      </w:r>
      <w:r>
        <w:rPr>
          <w:rFonts w:eastAsia="Times New Roman"/>
          <w:sz w:val="24"/>
          <w:szCs w:val="24"/>
        </w:rPr>
        <w:t>thousands of public and semi-public officials and employees and publicly disclosing the findings.  The disclosures cover a range of political and social positions, revealing the former regime complicity of many current bureaucrats, business leaders, office holders, and public personalities.  The breadth, depth and transparency of the public disclosures signal a significant shift in approach to transitional justice in both countries. There is evidence that the disclosures are catalyzing bureaucratic and moral changes similar to lustration, prompting preemptive employment vetting by employers, selective voluntary resignations by individuals to avoid disclosure, as well as an increase in citizen engagement with the secret police files.</w:t>
      </w:r>
    </w:p>
    <w:p w:rsidR="0064274E" w:rsidRDefault="0064274E" w:rsidP="00D418A9">
      <w:pPr>
        <w:spacing w:after="0" w:line="480" w:lineRule="auto"/>
        <w:rPr>
          <w:b/>
          <w:sz w:val="24"/>
          <w:szCs w:val="24"/>
        </w:rPr>
      </w:pPr>
    </w:p>
    <w:p w:rsidR="0064274E" w:rsidRPr="009068FD" w:rsidRDefault="0064274E" w:rsidP="00D418A9">
      <w:pPr>
        <w:spacing w:after="0" w:line="480" w:lineRule="auto"/>
        <w:rPr>
          <w:rFonts w:eastAsia="Times New Roman"/>
          <w:b/>
          <w:sz w:val="24"/>
          <w:szCs w:val="24"/>
        </w:rPr>
      </w:pPr>
      <w:r>
        <w:rPr>
          <w:b/>
          <w:sz w:val="24"/>
          <w:szCs w:val="24"/>
        </w:rPr>
        <w:br w:type="column"/>
      </w:r>
      <w:r>
        <w:rPr>
          <w:b/>
          <w:sz w:val="24"/>
          <w:szCs w:val="24"/>
        </w:rPr>
        <w:lastRenderedPageBreak/>
        <w:t>Introduction</w:t>
      </w:r>
    </w:p>
    <w:p w:rsidR="0064274E" w:rsidRPr="009D26FD" w:rsidRDefault="0064274E" w:rsidP="001606B6">
      <w:pPr>
        <w:spacing w:after="0" w:line="480" w:lineRule="auto"/>
        <w:ind w:firstLine="720"/>
        <w:rPr>
          <w:rFonts w:eastAsia="Times New Roman"/>
          <w:b/>
          <w:sz w:val="24"/>
          <w:szCs w:val="24"/>
        </w:rPr>
      </w:pPr>
      <w:r>
        <w:rPr>
          <w:rFonts w:eastAsia="Times New Roman"/>
          <w:sz w:val="24"/>
          <w:szCs w:val="24"/>
        </w:rPr>
        <w:t xml:space="preserve">Neither Bulgaria nor Romania actively engaged with lustration as part of their post-communist transitions, and as of 2010-2011 both legally foreclosed this option. Lustration laws are </w:t>
      </w:r>
      <w:r w:rsidRPr="009068FD">
        <w:rPr>
          <w:sz w:val="24"/>
          <w:szCs w:val="24"/>
        </w:rPr>
        <w:t>specialized form</w:t>
      </w:r>
      <w:r>
        <w:rPr>
          <w:sz w:val="24"/>
          <w:szCs w:val="24"/>
        </w:rPr>
        <w:t>s</w:t>
      </w:r>
      <w:r w:rsidRPr="009068FD">
        <w:rPr>
          <w:sz w:val="24"/>
          <w:szCs w:val="24"/>
        </w:rPr>
        <w:t xml:space="preserve"> of employment vetting</w:t>
      </w:r>
      <w:r>
        <w:rPr>
          <w:sz w:val="24"/>
          <w:szCs w:val="24"/>
        </w:rPr>
        <w:t xml:space="preserve"> widely used in Central and Eastern Europe (CEE) after the communist transitions, defined as</w:t>
      </w:r>
      <w:r w:rsidRPr="009068FD">
        <w:rPr>
          <w:sz w:val="24"/>
          <w:szCs w:val="24"/>
        </w:rPr>
        <w:t xml:space="preserve"> “the banning of communist officials and secret political police officers and informers from post-communist politics and positions of influence in society”</w:t>
      </w:r>
      <w:r>
        <w:rPr>
          <w:sz w:val="24"/>
          <w:szCs w:val="24"/>
        </w:rPr>
        <w:t xml:space="preserve"> (Stan 2009, 11; David 2011).  Lustration involves a punitive employment component, although the criteria for screening, the method of vetting, and the possible punitive consequences varied across the region.  Lustration was actively debated from time to time in both countries and both also passed forms of lustration legislation.  However, Bulgarian and Romanian political parties and leaders engaged in cycles of lustration manipulation with political rivals alternately calling for, briefly using, or vetoing lustration amendments for political advantage, thereby sullying the process. When Romania’s Constitutional Court blocked a series of lustration provisions and ruled significant components of lustration violated the constitution, and Bulgaria passed an amendment to the constitution officially banning lustration, it appeared that both countries had formally ended future consideration of lustration once and for all (</w:t>
      </w:r>
      <w:proofErr w:type="spellStart"/>
      <w:r>
        <w:rPr>
          <w:sz w:val="24"/>
          <w:szCs w:val="24"/>
        </w:rPr>
        <w:t>Leviev</w:t>
      </w:r>
      <w:proofErr w:type="spellEnd"/>
      <w:r>
        <w:rPr>
          <w:sz w:val="24"/>
          <w:szCs w:val="24"/>
        </w:rPr>
        <w:t>-Sawyer 2011; Constitutional Court Decision 820/2010).</w:t>
      </w:r>
      <w:r w:rsidRPr="001606B6">
        <w:rPr>
          <w:rFonts w:eastAsia="Times New Roman"/>
          <w:b/>
          <w:sz w:val="24"/>
          <w:szCs w:val="24"/>
        </w:rPr>
        <w:t xml:space="preserve"> </w:t>
      </w:r>
      <w:r>
        <w:rPr>
          <w:rFonts w:eastAsia="Times New Roman"/>
          <w:b/>
          <w:sz w:val="24"/>
          <w:szCs w:val="24"/>
        </w:rPr>
        <w:t xml:space="preserve"> </w:t>
      </w:r>
    </w:p>
    <w:p w:rsidR="0064274E" w:rsidRDefault="0064274E" w:rsidP="007C0E2E">
      <w:pPr>
        <w:spacing w:after="0" w:line="480" w:lineRule="auto"/>
        <w:ind w:firstLine="720"/>
        <w:jc w:val="both"/>
        <w:rPr>
          <w:rFonts w:eastAsia="Times New Roman"/>
          <w:sz w:val="24"/>
          <w:szCs w:val="24"/>
        </w:rPr>
      </w:pPr>
      <w:r>
        <w:rPr>
          <w:sz w:val="24"/>
          <w:szCs w:val="24"/>
        </w:rPr>
        <w:t xml:space="preserve">However, starting in earnest in 2006-2008 and continuing both through the formal rejection of lustration laws to the present, the secret police file repository agencies in Romania and Bulgaria began a process of reviewing the former secret police files of tens of </w:t>
      </w:r>
      <w:r>
        <w:rPr>
          <w:rFonts w:eastAsia="Times New Roman"/>
          <w:sz w:val="24"/>
          <w:szCs w:val="24"/>
        </w:rPr>
        <w:t xml:space="preserve">thousands of current public and semi-public officials and employees, and publicly disclosing the information.  The disclosures cover a range of political and social positions, revealing the former regime complicity of many current bureaucrats, office holders, business leaders, and public </w:t>
      </w:r>
      <w:r>
        <w:rPr>
          <w:rFonts w:eastAsia="Times New Roman"/>
          <w:sz w:val="24"/>
          <w:szCs w:val="24"/>
        </w:rPr>
        <w:lastRenderedPageBreak/>
        <w:t>personalities. The current d</w:t>
      </w:r>
      <w:r>
        <w:rPr>
          <w:sz w:val="24"/>
          <w:szCs w:val="24"/>
        </w:rPr>
        <w:t>isclosure programs are explicitly framed as a way of “lifting the curtain on the past,</w:t>
      </w:r>
      <w:r w:rsidRPr="00247097">
        <w:rPr>
          <w:sz w:val="24"/>
          <w:szCs w:val="24"/>
        </w:rPr>
        <w:t>”</w:t>
      </w:r>
      <w:r>
        <w:rPr>
          <w:sz w:val="24"/>
          <w:szCs w:val="24"/>
        </w:rPr>
        <w:t xml:space="preserve"> designed to both atone for and alter the legacies of communism.</w:t>
      </w:r>
      <w:r w:rsidRPr="00247097">
        <w:rPr>
          <w:rStyle w:val="EndnoteReference"/>
          <w:sz w:val="24"/>
          <w:szCs w:val="24"/>
        </w:rPr>
        <w:endnoteReference w:id="2"/>
      </w:r>
      <w:r>
        <w:rPr>
          <w:rStyle w:val="EndnoteReference"/>
          <w:sz w:val="24"/>
          <w:szCs w:val="24"/>
        </w:rPr>
        <w:t xml:space="preserve"> </w:t>
      </w:r>
      <w:r>
        <w:rPr>
          <w:rFonts w:eastAsia="Times New Roman"/>
          <w:sz w:val="24"/>
          <w:szCs w:val="24"/>
        </w:rPr>
        <w:t xml:space="preserve">Prior to 2006, the file repository agencies in both countries engaged with limited public disclosures and there was evidence of political manipulation of revealed information. However, the breadth, depth and transparency of the most recent round of disclosures marked a substantial shift in transitional justice. </w:t>
      </w:r>
    </w:p>
    <w:p w:rsidR="0064274E" w:rsidRDefault="0064274E" w:rsidP="00922664">
      <w:pPr>
        <w:spacing w:after="0" w:line="480" w:lineRule="auto"/>
        <w:rPr>
          <w:sz w:val="24"/>
          <w:szCs w:val="24"/>
        </w:rPr>
      </w:pPr>
      <w:r>
        <w:rPr>
          <w:rFonts w:eastAsia="Times New Roman"/>
          <w:sz w:val="24"/>
          <w:szCs w:val="24"/>
        </w:rPr>
        <w:tab/>
        <w:t xml:space="preserve">The public disclosures process is not legally lustration, as there is an explicit prohibition on lustration in Bulgaria and an equally explicit Constitutional Court prohibition on the file repository agency in Romania to engage with lustration. Nonetheless, the extensive process of public disclosures is </w:t>
      </w:r>
      <w:r>
        <w:rPr>
          <w:sz w:val="24"/>
          <w:szCs w:val="24"/>
        </w:rPr>
        <w:t>referred to by both agencies as a form of informal lustration, with the Chairman of the Dossier Commission in Bulgaria dubbing the process “silent lustration.”</w:t>
      </w:r>
      <w:r w:rsidRPr="004E6D26">
        <w:rPr>
          <w:rStyle w:val="EndnoteReference"/>
          <w:sz w:val="24"/>
          <w:szCs w:val="24"/>
        </w:rPr>
        <w:endnoteReference w:id="3"/>
      </w:r>
      <w:r>
        <w:rPr>
          <w:sz w:val="24"/>
          <w:szCs w:val="24"/>
        </w:rPr>
        <w:t xml:space="preserve"> The lustration is “silent” </w:t>
      </w:r>
      <w:r w:rsidRPr="00247097">
        <w:rPr>
          <w:sz w:val="24"/>
          <w:szCs w:val="24"/>
        </w:rPr>
        <w:t>because of the lack of formal lustration authority</w:t>
      </w:r>
      <w:r>
        <w:rPr>
          <w:sz w:val="24"/>
          <w:szCs w:val="24"/>
        </w:rPr>
        <w:t xml:space="preserve">, although </w:t>
      </w:r>
      <w:r w:rsidRPr="00247097">
        <w:rPr>
          <w:sz w:val="24"/>
          <w:szCs w:val="24"/>
        </w:rPr>
        <w:t xml:space="preserve">there is nothing silent about the scope of the </w:t>
      </w:r>
      <w:r>
        <w:rPr>
          <w:sz w:val="24"/>
          <w:szCs w:val="24"/>
        </w:rPr>
        <w:t xml:space="preserve">public </w:t>
      </w:r>
      <w:r w:rsidRPr="00247097">
        <w:rPr>
          <w:sz w:val="24"/>
          <w:szCs w:val="24"/>
        </w:rPr>
        <w:t xml:space="preserve">disclosures and the possibilities for bureaucratic change. </w:t>
      </w:r>
      <w:r>
        <w:rPr>
          <w:sz w:val="24"/>
          <w:szCs w:val="24"/>
        </w:rPr>
        <w:t xml:space="preserve"> </w:t>
      </w:r>
      <w:r w:rsidR="008E1541">
        <w:rPr>
          <w:sz w:val="24"/>
          <w:szCs w:val="24"/>
        </w:rPr>
        <w:t xml:space="preserve">By bureaucratic change, I mean changes to the personnel and composition of elected offices and public and semi-public institutions.  </w:t>
      </w:r>
      <w:r>
        <w:rPr>
          <w:sz w:val="24"/>
          <w:szCs w:val="24"/>
        </w:rPr>
        <w:t xml:space="preserve">Although public disclosures lack the legal authority of lustration to remove individuals from public office, </w:t>
      </w:r>
      <w:r>
        <w:rPr>
          <w:rStyle w:val="EndnoteReference"/>
          <w:sz w:val="24"/>
          <w:szCs w:val="24"/>
          <w:vertAlign w:val="baseline"/>
        </w:rPr>
        <w:t xml:space="preserve">in structure and function they </w:t>
      </w:r>
      <w:r>
        <w:rPr>
          <w:sz w:val="24"/>
          <w:szCs w:val="24"/>
        </w:rPr>
        <w:t xml:space="preserve">strive to </w:t>
      </w:r>
      <w:proofErr w:type="gramStart"/>
      <w:r>
        <w:rPr>
          <w:sz w:val="24"/>
          <w:szCs w:val="24"/>
        </w:rPr>
        <w:t>effect</w:t>
      </w:r>
      <w:proofErr w:type="gramEnd"/>
      <w:r>
        <w:rPr>
          <w:sz w:val="24"/>
          <w:szCs w:val="24"/>
        </w:rPr>
        <w:t xml:space="preserve"> the type</w:t>
      </w:r>
      <w:r w:rsidRPr="00247097">
        <w:rPr>
          <w:sz w:val="24"/>
          <w:szCs w:val="24"/>
        </w:rPr>
        <w:t xml:space="preserve"> of bureaucratic, </w:t>
      </w:r>
      <w:r>
        <w:rPr>
          <w:sz w:val="24"/>
          <w:szCs w:val="24"/>
        </w:rPr>
        <w:t>moral</w:t>
      </w:r>
      <w:r w:rsidRPr="00247097">
        <w:rPr>
          <w:sz w:val="24"/>
          <w:szCs w:val="24"/>
        </w:rPr>
        <w:t xml:space="preserve"> and historical memory accountability seen in </w:t>
      </w:r>
      <w:r>
        <w:rPr>
          <w:sz w:val="24"/>
          <w:szCs w:val="24"/>
        </w:rPr>
        <w:t xml:space="preserve">other </w:t>
      </w:r>
      <w:r w:rsidRPr="00247097">
        <w:rPr>
          <w:sz w:val="24"/>
          <w:szCs w:val="24"/>
        </w:rPr>
        <w:t>regional lustration programs.</w:t>
      </w:r>
      <w:r w:rsidRPr="004F7A10">
        <w:rPr>
          <w:rStyle w:val="EndnoteReference"/>
          <w:rFonts w:eastAsia="Times New Roman"/>
          <w:sz w:val="24"/>
          <w:szCs w:val="24"/>
        </w:rPr>
        <w:t xml:space="preserve"> </w:t>
      </w:r>
      <w:r>
        <w:rPr>
          <w:rStyle w:val="EndnoteReference"/>
          <w:rFonts w:eastAsia="Times New Roman"/>
          <w:sz w:val="24"/>
          <w:szCs w:val="24"/>
        </w:rPr>
        <w:endnoteReference w:id="4"/>
      </w:r>
      <w:r w:rsidRPr="00247097">
        <w:rPr>
          <w:sz w:val="24"/>
          <w:szCs w:val="24"/>
        </w:rPr>
        <w:t xml:space="preserve"> </w:t>
      </w:r>
      <w:r>
        <w:rPr>
          <w:sz w:val="24"/>
          <w:szCs w:val="24"/>
        </w:rPr>
        <w:t xml:space="preserve">This late form of transitional justice is resonating with citizens, who have taken renewed interest in both their personal files as well as the background of individuals in positions of public trust.  </w:t>
      </w:r>
    </w:p>
    <w:p w:rsidR="0064274E" w:rsidRDefault="0064274E" w:rsidP="00C36917">
      <w:pPr>
        <w:spacing w:after="0" w:line="480" w:lineRule="auto"/>
        <w:rPr>
          <w:rFonts w:eastAsia="Times New Roman"/>
          <w:sz w:val="24"/>
          <w:szCs w:val="24"/>
        </w:rPr>
      </w:pPr>
      <w:r>
        <w:rPr>
          <w:sz w:val="24"/>
          <w:szCs w:val="24"/>
        </w:rPr>
        <w:tab/>
      </w:r>
      <w:r>
        <w:rPr>
          <w:rFonts w:eastAsia="Times New Roman"/>
          <w:sz w:val="24"/>
          <w:szCs w:val="24"/>
        </w:rPr>
        <w:t xml:space="preserve">The paper highlights the way public disclosures in Romania and Bulgaria signal a shift in approach to transitional justice. It situates public disclosures within the context of regional lustration programs, and suggests that the scope and depth of the disclosures has a bureaucratic </w:t>
      </w:r>
      <w:r>
        <w:rPr>
          <w:rFonts w:eastAsia="Times New Roman"/>
          <w:sz w:val="24"/>
          <w:szCs w:val="24"/>
        </w:rPr>
        <w:lastRenderedPageBreak/>
        <w:t>change dimension. In particular, there is evidence to indicate that public disclosures are prompting personnel vetting at the employer level, catalyzing voluntary resignations to avoid public disclosure at the individual level, and galvanizing citizen engagement with the files</w:t>
      </w:r>
      <w:r w:rsidRPr="00247097">
        <w:rPr>
          <w:rFonts w:eastAsia="Times New Roman"/>
          <w:sz w:val="24"/>
          <w:szCs w:val="24"/>
        </w:rPr>
        <w:t>.</w:t>
      </w:r>
      <w:r>
        <w:rPr>
          <w:rFonts w:eastAsia="Times New Roman"/>
          <w:sz w:val="24"/>
          <w:szCs w:val="24"/>
        </w:rPr>
        <w:t xml:space="preserve"> Importantly, in a moral cleansing sense, the disclosures represent engagement with transparency and accountability measures in order to address the legacies of communism.  In terms of both potential bureaucratic change and moral cleansing, public disclosures constitute </w:t>
      </w:r>
      <w:r>
        <w:rPr>
          <w:sz w:val="24"/>
          <w:szCs w:val="24"/>
        </w:rPr>
        <w:t>an alternate form of late lustration --‘silent lustration’ --in the face of legal limitations and prohibitions on lustration itself.</w:t>
      </w:r>
      <w:r>
        <w:rPr>
          <w:rFonts w:eastAsia="Times New Roman"/>
          <w:sz w:val="24"/>
          <w:szCs w:val="24"/>
        </w:rPr>
        <w:t xml:space="preserve"> </w:t>
      </w:r>
    </w:p>
    <w:p w:rsidR="0064274E" w:rsidRDefault="0064274E" w:rsidP="00B82D90">
      <w:pPr>
        <w:spacing w:after="0" w:line="480" w:lineRule="auto"/>
        <w:rPr>
          <w:rFonts w:eastAsia="Times New Roman"/>
          <w:sz w:val="24"/>
          <w:szCs w:val="24"/>
        </w:rPr>
      </w:pPr>
      <w:r>
        <w:rPr>
          <w:rFonts w:eastAsia="Times New Roman"/>
          <w:sz w:val="24"/>
          <w:szCs w:val="24"/>
        </w:rPr>
        <w:tab/>
        <w:t>This paper is structured as follows: first I briefly review the evolution of lustration policies in CEE and historically situate the current policies in Romania and Bulgaria.  Second, I examine</w:t>
      </w:r>
      <w:r w:rsidRPr="009068FD">
        <w:rPr>
          <w:rFonts w:eastAsia="Times New Roman"/>
          <w:sz w:val="24"/>
          <w:szCs w:val="24"/>
        </w:rPr>
        <w:t xml:space="preserve"> the structure, function, and scope of </w:t>
      </w:r>
      <w:r>
        <w:rPr>
          <w:rFonts w:eastAsia="Times New Roman"/>
          <w:sz w:val="24"/>
          <w:szCs w:val="24"/>
        </w:rPr>
        <w:t xml:space="preserve">public disclosures in Bulgaria and Romania, illustrating how the current programs resemble regional lustration programs despite the lack of a lustration mandate. Third, I detail a shift in public support for the revelations over time and provide some evidence suggesting that </w:t>
      </w:r>
      <w:r>
        <w:rPr>
          <w:sz w:val="24"/>
          <w:szCs w:val="24"/>
        </w:rPr>
        <w:t>the disclosure programs are catalyzing both potential and actual bureaucratic and moral changes.</w:t>
      </w:r>
    </w:p>
    <w:p w:rsidR="0064274E" w:rsidRPr="007E3057" w:rsidRDefault="0064274E" w:rsidP="007E3057">
      <w:pPr>
        <w:spacing w:after="0" w:line="480" w:lineRule="auto"/>
        <w:ind w:firstLine="720"/>
        <w:jc w:val="both"/>
        <w:rPr>
          <w:sz w:val="24"/>
          <w:szCs w:val="24"/>
        </w:rPr>
      </w:pPr>
    </w:p>
    <w:p w:rsidR="0064274E" w:rsidRPr="007E3057" w:rsidRDefault="0064274E" w:rsidP="00B84E16">
      <w:pPr>
        <w:spacing w:after="0" w:line="480" w:lineRule="auto"/>
        <w:jc w:val="both"/>
        <w:rPr>
          <w:b/>
          <w:sz w:val="24"/>
          <w:szCs w:val="24"/>
        </w:rPr>
      </w:pPr>
      <w:r w:rsidRPr="007E3057">
        <w:rPr>
          <w:b/>
          <w:sz w:val="24"/>
          <w:szCs w:val="24"/>
        </w:rPr>
        <w:t>Lustration</w:t>
      </w:r>
      <w:r>
        <w:rPr>
          <w:b/>
          <w:sz w:val="24"/>
          <w:szCs w:val="24"/>
        </w:rPr>
        <w:t xml:space="preserve"> in the Post-Communist Sphere</w:t>
      </w:r>
    </w:p>
    <w:p w:rsidR="0064274E" w:rsidRDefault="0064274E" w:rsidP="00D04E76">
      <w:pPr>
        <w:spacing w:after="0" w:line="480" w:lineRule="auto"/>
        <w:ind w:firstLine="720"/>
        <w:jc w:val="both"/>
        <w:rPr>
          <w:sz w:val="24"/>
          <w:szCs w:val="24"/>
        </w:rPr>
      </w:pPr>
      <w:r>
        <w:rPr>
          <w:color w:val="000000"/>
          <w:sz w:val="24"/>
          <w:szCs w:val="24"/>
        </w:rPr>
        <w:t>The definition and implementation</w:t>
      </w:r>
      <w:r w:rsidRPr="00B84E16">
        <w:rPr>
          <w:color w:val="000000"/>
          <w:sz w:val="24"/>
          <w:szCs w:val="24"/>
        </w:rPr>
        <w:t xml:space="preserve"> of lustration </w:t>
      </w:r>
      <w:r>
        <w:rPr>
          <w:color w:val="000000"/>
          <w:sz w:val="24"/>
          <w:szCs w:val="24"/>
        </w:rPr>
        <w:t xml:space="preserve">has </w:t>
      </w:r>
      <w:r w:rsidRPr="00B84E16">
        <w:rPr>
          <w:color w:val="000000"/>
          <w:sz w:val="24"/>
          <w:szCs w:val="24"/>
        </w:rPr>
        <w:t>evolved over time</w:t>
      </w:r>
      <w:r>
        <w:rPr>
          <w:color w:val="000000"/>
          <w:sz w:val="24"/>
          <w:szCs w:val="24"/>
        </w:rPr>
        <w:t>,</w:t>
      </w:r>
      <w:r w:rsidRPr="00B84E16">
        <w:rPr>
          <w:color w:val="000000"/>
          <w:sz w:val="24"/>
          <w:szCs w:val="24"/>
        </w:rPr>
        <w:t xml:space="preserve"> </w:t>
      </w:r>
      <w:r>
        <w:rPr>
          <w:color w:val="000000"/>
          <w:sz w:val="24"/>
          <w:szCs w:val="24"/>
        </w:rPr>
        <w:t>reflecting regional changes in the criteria for lustration, the scope of lustration and the motives for lustration</w:t>
      </w:r>
      <w:r w:rsidRPr="00B84E16">
        <w:rPr>
          <w:color w:val="000000"/>
          <w:sz w:val="24"/>
          <w:szCs w:val="24"/>
        </w:rPr>
        <w:t xml:space="preserve">. </w:t>
      </w:r>
      <w:r>
        <w:rPr>
          <w:color w:val="000000"/>
          <w:sz w:val="24"/>
          <w:szCs w:val="24"/>
        </w:rPr>
        <w:t xml:space="preserve"> Early definitions were heavily influenced by the initial Czech program, which included compulsory and expansive screening procedures and employment penalties:</w:t>
      </w:r>
      <w:r>
        <w:rPr>
          <w:sz w:val="24"/>
          <w:szCs w:val="24"/>
        </w:rPr>
        <w:t xml:space="preserve"> “the disqualification and, where in office, the removal of certain categories of office-holders under the prior regime from certain public or private offices under the new regime” (Schwartz 1995, 161). This original definition </w:t>
      </w:r>
      <w:r>
        <w:rPr>
          <w:sz w:val="24"/>
          <w:szCs w:val="24"/>
        </w:rPr>
        <w:lastRenderedPageBreak/>
        <w:t xml:space="preserve">focused on personnel changes that resulted from the screening of an individual’s past, reflecting the </w:t>
      </w:r>
      <w:r w:rsidR="003B63BB">
        <w:rPr>
          <w:sz w:val="24"/>
          <w:szCs w:val="24"/>
        </w:rPr>
        <w:t xml:space="preserve">compulsory </w:t>
      </w:r>
      <w:r>
        <w:rPr>
          <w:sz w:val="24"/>
          <w:szCs w:val="24"/>
        </w:rPr>
        <w:t xml:space="preserve">employment changes in the Czech, Estonian and Latvian programs and the subsequent expectations of bureaucratic changes from the less punitive screening programs in Hungary and Poland (Stan 2009; Stan 2006).  </w:t>
      </w:r>
      <w:r w:rsidRPr="00B84E16">
        <w:rPr>
          <w:sz w:val="24"/>
          <w:szCs w:val="24"/>
        </w:rPr>
        <w:t>Stan notes that lustration refer</w:t>
      </w:r>
      <w:r>
        <w:rPr>
          <w:sz w:val="24"/>
          <w:szCs w:val="24"/>
        </w:rPr>
        <w:t>s</w:t>
      </w:r>
      <w:r w:rsidRPr="00B84E16">
        <w:rPr>
          <w:sz w:val="24"/>
          <w:szCs w:val="24"/>
        </w:rPr>
        <w:t xml:space="preserve"> to v</w:t>
      </w:r>
      <w:r>
        <w:rPr>
          <w:sz w:val="24"/>
          <w:szCs w:val="24"/>
        </w:rPr>
        <w:t xml:space="preserve">etting procedures with two </w:t>
      </w:r>
      <w:r w:rsidRPr="00B84E16">
        <w:rPr>
          <w:sz w:val="24"/>
          <w:szCs w:val="24"/>
        </w:rPr>
        <w:t>different approaches, namely employment exclusion/punishment versus confession based approaches without inherent job loss</w:t>
      </w:r>
      <w:r>
        <w:rPr>
          <w:sz w:val="24"/>
          <w:szCs w:val="24"/>
        </w:rPr>
        <w:t xml:space="preserve"> but with potential employment ramifications (Stan 2009, 84). For example, i</w:t>
      </w:r>
      <w:r w:rsidRPr="00B84E16">
        <w:rPr>
          <w:sz w:val="24"/>
          <w:szCs w:val="24"/>
        </w:rPr>
        <w:t xml:space="preserve">n places like </w:t>
      </w:r>
      <w:r>
        <w:rPr>
          <w:sz w:val="24"/>
          <w:szCs w:val="24"/>
        </w:rPr>
        <w:t xml:space="preserve">Hungary, shaming or threat of public disclosure were the methods for instigating ‘quasi-voluntary’ bureaucratic change. In </w:t>
      </w:r>
      <w:r w:rsidRPr="00B84E16">
        <w:rPr>
          <w:sz w:val="24"/>
          <w:szCs w:val="24"/>
        </w:rPr>
        <w:t xml:space="preserve">Poland and later Lithuania, </w:t>
      </w:r>
      <w:r>
        <w:rPr>
          <w:sz w:val="24"/>
          <w:szCs w:val="24"/>
        </w:rPr>
        <w:t xml:space="preserve">forced bureaucratic change </w:t>
      </w:r>
      <w:r w:rsidRPr="00B84E16">
        <w:rPr>
          <w:sz w:val="24"/>
          <w:szCs w:val="24"/>
        </w:rPr>
        <w:t xml:space="preserve">was a function of </w:t>
      </w:r>
      <w:proofErr w:type="gramStart"/>
      <w:r w:rsidRPr="00B84E16">
        <w:rPr>
          <w:sz w:val="24"/>
          <w:szCs w:val="24"/>
        </w:rPr>
        <w:t>lying</w:t>
      </w:r>
      <w:proofErr w:type="gramEnd"/>
      <w:r w:rsidRPr="00B84E16">
        <w:rPr>
          <w:sz w:val="24"/>
          <w:szCs w:val="24"/>
        </w:rPr>
        <w:t xml:space="preserve"> about collaboration not the act of collaboration itself</w:t>
      </w:r>
      <w:r>
        <w:rPr>
          <w:sz w:val="24"/>
          <w:szCs w:val="24"/>
        </w:rPr>
        <w:t xml:space="preserve"> (Kaminski and </w:t>
      </w:r>
      <w:proofErr w:type="spellStart"/>
      <w:r>
        <w:rPr>
          <w:sz w:val="24"/>
          <w:szCs w:val="24"/>
        </w:rPr>
        <w:t>Nalepa</w:t>
      </w:r>
      <w:proofErr w:type="spellEnd"/>
      <w:r>
        <w:rPr>
          <w:sz w:val="24"/>
          <w:szCs w:val="24"/>
        </w:rPr>
        <w:t xml:space="preserve"> 2006; </w:t>
      </w:r>
      <w:proofErr w:type="spellStart"/>
      <w:r>
        <w:rPr>
          <w:sz w:val="24"/>
          <w:szCs w:val="24"/>
        </w:rPr>
        <w:t>Gibney</w:t>
      </w:r>
      <w:proofErr w:type="spellEnd"/>
      <w:r>
        <w:rPr>
          <w:sz w:val="24"/>
          <w:szCs w:val="24"/>
        </w:rPr>
        <w:t xml:space="preserve"> 1997)</w:t>
      </w:r>
      <w:r w:rsidRPr="00B84E16">
        <w:rPr>
          <w:sz w:val="24"/>
          <w:szCs w:val="24"/>
        </w:rPr>
        <w:t>.</w:t>
      </w:r>
      <w:r>
        <w:rPr>
          <w:sz w:val="24"/>
          <w:szCs w:val="24"/>
        </w:rPr>
        <w:t xml:space="preserve"> Whether directly through employment penalties or indirectly through shaming and pressured resignations, bureaucratic change has remained essential to an understanding of lustration.</w:t>
      </w:r>
    </w:p>
    <w:p w:rsidR="003B63BB" w:rsidRDefault="003B63BB" w:rsidP="00D04E76">
      <w:pPr>
        <w:spacing w:after="0" w:line="480" w:lineRule="auto"/>
        <w:ind w:firstLine="720"/>
        <w:jc w:val="both"/>
        <w:rPr>
          <w:sz w:val="24"/>
          <w:szCs w:val="24"/>
        </w:rPr>
      </w:pPr>
      <w:r>
        <w:rPr>
          <w:sz w:val="24"/>
          <w:szCs w:val="24"/>
        </w:rPr>
        <w:t xml:space="preserve">The political process that </w:t>
      </w:r>
      <w:r w:rsidR="009F5626">
        <w:rPr>
          <w:sz w:val="24"/>
          <w:szCs w:val="24"/>
        </w:rPr>
        <w:t>results in</w:t>
      </w:r>
      <w:r>
        <w:rPr>
          <w:sz w:val="24"/>
          <w:szCs w:val="24"/>
        </w:rPr>
        <w:t xml:space="preserve"> lustration also varies across countries</w:t>
      </w:r>
      <w:r w:rsidR="00B81F2F">
        <w:rPr>
          <w:sz w:val="24"/>
          <w:szCs w:val="24"/>
        </w:rPr>
        <w:t xml:space="preserve"> (Rosenberg 1995)</w:t>
      </w:r>
      <w:r w:rsidR="00AA5554">
        <w:rPr>
          <w:sz w:val="24"/>
          <w:szCs w:val="24"/>
        </w:rPr>
        <w:t xml:space="preserve">. </w:t>
      </w:r>
      <w:r w:rsidR="003B5062">
        <w:rPr>
          <w:sz w:val="24"/>
          <w:szCs w:val="24"/>
        </w:rPr>
        <w:t>While</w:t>
      </w:r>
      <w:r>
        <w:rPr>
          <w:sz w:val="24"/>
          <w:szCs w:val="24"/>
        </w:rPr>
        <w:t xml:space="preserve"> lustration is a legally mandated process</w:t>
      </w:r>
      <w:r w:rsidR="003B5062">
        <w:rPr>
          <w:sz w:val="24"/>
          <w:szCs w:val="24"/>
        </w:rPr>
        <w:t xml:space="preserve"> that requires</w:t>
      </w:r>
      <w:r>
        <w:rPr>
          <w:sz w:val="24"/>
          <w:szCs w:val="24"/>
        </w:rPr>
        <w:t xml:space="preserve"> </w:t>
      </w:r>
      <w:r w:rsidR="003B5062">
        <w:rPr>
          <w:sz w:val="24"/>
          <w:szCs w:val="24"/>
        </w:rPr>
        <w:t>legislative ratification and</w:t>
      </w:r>
      <w:r>
        <w:rPr>
          <w:sz w:val="24"/>
          <w:szCs w:val="24"/>
        </w:rPr>
        <w:t xml:space="preserve"> </w:t>
      </w:r>
      <w:r w:rsidR="003B5062">
        <w:rPr>
          <w:sz w:val="24"/>
          <w:szCs w:val="24"/>
        </w:rPr>
        <w:t xml:space="preserve">is </w:t>
      </w:r>
      <w:r>
        <w:rPr>
          <w:sz w:val="24"/>
          <w:szCs w:val="24"/>
        </w:rPr>
        <w:t>subject to constitutional court reviews</w:t>
      </w:r>
      <w:r w:rsidR="003B5062">
        <w:rPr>
          <w:sz w:val="24"/>
          <w:szCs w:val="24"/>
        </w:rPr>
        <w:t>, this does not mean the process is apolitical. P</w:t>
      </w:r>
      <w:r>
        <w:rPr>
          <w:sz w:val="24"/>
          <w:szCs w:val="24"/>
        </w:rPr>
        <w:t xml:space="preserve">olitical elites, political parties and competition among them, </w:t>
      </w:r>
      <w:r w:rsidR="00AA5554">
        <w:rPr>
          <w:sz w:val="24"/>
          <w:szCs w:val="24"/>
        </w:rPr>
        <w:t>citizens</w:t>
      </w:r>
      <w:r>
        <w:rPr>
          <w:sz w:val="24"/>
          <w:szCs w:val="24"/>
        </w:rPr>
        <w:t xml:space="preserve">, constitutional courts, and to a lesser extent international </w:t>
      </w:r>
      <w:r w:rsidR="00AA5554">
        <w:rPr>
          <w:sz w:val="24"/>
          <w:szCs w:val="24"/>
        </w:rPr>
        <w:t>institutions can affect the scope, timing and implementation of the laws</w:t>
      </w:r>
      <w:r>
        <w:rPr>
          <w:sz w:val="24"/>
          <w:szCs w:val="24"/>
        </w:rPr>
        <w:t xml:space="preserve"> (Horne and Levi 2</w:t>
      </w:r>
      <w:r w:rsidR="009F5626">
        <w:rPr>
          <w:sz w:val="24"/>
          <w:szCs w:val="24"/>
        </w:rPr>
        <w:t>004; Horne 2009</w:t>
      </w:r>
      <w:r w:rsidR="002F2114">
        <w:rPr>
          <w:sz w:val="24"/>
          <w:szCs w:val="24"/>
        </w:rPr>
        <w:t>b</w:t>
      </w:r>
      <w:bookmarkStart w:id="0" w:name="_GoBack"/>
      <w:bookmarkEnd w:id="0"/>
      <w:r w:rsidR="009F5626">
        <w:rPr>
          <w:sz w:val="24"/>
          <w:szCs w:val="24"/>
        </w:rPr>
        <w:t>).</w:t>
      </w:r>
      <w:r>
        <w:rPr>
          <w:sz w:val="24"/>
          <w:szCs w:val="24"/>
        </w:rPr>
        <w:t xml:space="preserve"> </w:t>
      </w:r>
      <w:r w:rsidR="009F5626">
        <w:rPr>
          <w:sz w:val="24"/>
          <w:szCs w:val="24"/>
        </w:rPr>
        <w:t xml:space="preserve"> </w:t>
      </w:r>
      <w:r w:rsidR="00AA5554">
        <w:rPr>
          <w:sz w:val="24"/>
          <w:szCs w:val="24"/>
        </w:rPr>
        <w:t>For example, constitutional courts can modify and block lustration (Hungary and Romania), empower modifications to lustration (Poland)</w:t>
      </w:r>
      <w:r w:rsidR="003B5062">
        <w:rPr>
          <w:sz w:val="24"/>
          <w:szCs w:val="24"/>
        </w:rPr>
        <w:t>,</w:t>
      </w:r>
      <w:r w:rsidR="00AA5554">
        <w:rPr>
          <w:sz w:val="24"/>
          <w:szCs w:val="24"/>
        </w:rPr>
        <w:t xml:space="preserve"> or reaffirm the important rule of law dimensions of lustration (the Czech case).  There is no set role ascribed to any single actor in supporting or undermining the process</w:t>
      </w:r>
      <w:r w:rsidR="00B81F2F">
        <w:rPr>
          <w:sz w:val="24"/>
          <w:szCs w:val="24"/>
        </w:rPr>
        <w:t>;</w:t>
      </w:r>
      <w:r w:rsidR="003B5062">
        <w:rPr>
          <w:sz w:val="24"/>
          <w:szCs w:val="24"/>
        </w:rPr>
        <w:t xml:space="preserve"> there are cases when reformed communists have rejected lustration and later supported it. </w:t>
      </w:r>
      <w:r w:rsidR="00AA5554">
        <w:rPr>
          <w:sz w:val="24"/>
          <w:szCs w:val="24"/>
        </w:rPr>
        <w:t xml:space="preserve">The process can become politicized by political parties trying to wield the power of the files to discredit political </w:t>
      </w:r>
      <w:r w:rsidR="00AA5554">
        <w:rPr>
          <w:sz w:val="24"/>
          <w:szCs w:val="24"/>
        </w:rPr>
        <w:lastRenderedPageBreak/>
        <w:t xml:space="preserve">competitors </w:t>
      </w:r>
      <w:r w:rsidR="003B5062">
        <w:rPr>
          <w:sz w:val="24"/>
          <w:szCs w:val="24"/>
        </w:rPr>
        <w:t xml:space="preserve">early or late in the process </w:t>
      </w:r>
      <w:r w:rsidR="00AA5554">
        <w:rPr>
          <w:sz w:val="24"/>
          <w:szCs w:val="24"/>
        </w:rPr>
        <w:t>(Stan 2006</w:t>
      </w:r>
      <w:r w:rsidR="00B81F2F">
        <w:rPr>
          <w:sz w:val="24"/>
          <w:szCs w:val="24"/>
        </w:rPr>
        <w:t xml:space="preserve">; </w:t>
      </w:r>
      <w:proofErr w:type="spellStart"/>
      <w:r w:rsidR="00B81F2F">
        <w:rPr>
          <w:sz w:val="24"/>
          <w:szCs w:val="24"/>
        </w:rPr>
        <w:t>Nalepa</w:t>
      </w:r>
      <w:proofErr w:type="spellEnd"/>
      <w:r w:rsidR="00B81F2F">
        <w:rPr>
          <w:sz w:val="24"/>
          <w:szCs w:val="24"/>
        </w:rPr>
        <w:t xml:space="preserve"> 2010</w:t>
      </w:r>
      <w:r w:rsidR="00AA5554">
        <w:rPr>
          <w:sz w:val="24"/>
          <w:szCs w:val="24"/>
        </w:rPr>
        <w:t>)</w:t>
      </w:r>
      <w:r w:rsidR="00B81F2F">
        <w:rPr>
          <w:sz w:val="24"/>
          <w:szCs w:val="24"/>
        </w:rPr>
        <w:t xml:space="preserve">. </w:t>
      </w:r>
      <w:r w:rsidR="00AA5554">
        <w:rPr>
          <w:sz w:val="24"/>
          <w:szCs w:val="24"/>
        </w:rPr>
        <w:t>Recognizing a central political dimension to the process of lustration, the discussion of Romania and Bulgaria will draw attention to some of the political elements</w:t>
      </w:r>
      <w:r w:rsidR="003B5062">
        <w:rPr>
          <w:sz w:val="24"/>
          <w:szCs w:val="24"/>
        </w:rPr>
        <w:t xml:space="preserve"> in each case</w:t>
      </w:r>
      <w:r w:rsidR="00AA5554">
        <w:rPr>
          <w:sz w:val="24"/>
          <w:szCs w:val="24"/>
        </w:rPr>
        <w:t xml:space="preserve">. </w:t>
      </w:r>
    </w:p>
    <w:p w:rsidR="0064274E" w:rsidRPr="00832E87" w:rsidRDefault="0064274E" w:rsidP="00832E87">
      <w:pPr>
        <w:spacing w:after="0" w:line="480" w:lineRule="auto"/>
        <w:ind w:firstLine="720"/>
        <w:jc w:val="both"/>
        <w:rPr>
          <w:color w:val="000000"/>
          <w:sz w:val="24"/>
          <w:szCs w:val="24"/>
        </w:rPr>
      </w:pPr>
      <w:r>
        <w:rPr>
          <w:sz w:val="24"/>
          <w:szCs w:val="24"/>
        </w:rPr>
        <w:t xml:space="preserve">Lustration has taken various forms in practice across the post-communist region, and sometimes these features appear in definitions. With respect to the scope of lustration, initial programs focused on the screening of top </w:t>
      </w:r>
      <w:r w:rsidRPr="00B84E16">
        <w:rPr>
          <w:sz w:val="24"/>
          <w:szCs w:val="24"/>
        </w:rPr>
        <w:t>public office holders</w:t>
      </w:r>
      <w:r>
        <w:rPr>
          <w:sz w:val="24"/>
          <w:szCs w:val="24"/>
        </w:rPr>
        <w:t>, although this expanded to include a range of public office holders, public positions, semi-public positions, and important social positions (Horne 2009</w:t>
      </w:r>
      <w:r w:rsidR="002F2114">
        <w:rPr>
          <w:sz w:val="24"/>
          <w:szCs w:val="24"/>
        </w:rPr>
        <w:t>a</w:t>
      </w:r>
      <w:r>
        <w:rPr>
          <w:sz w:val="24"/>
          <w:szCs w:val="24"/>
        </w:rPr>
        <w:t>)</w:t>
      </w:r>
      <w:r w:rsidRPr="00B84E16">
        <w:rPr>
          <w:sz w:val="24"/>
          <w:szCs w:val="24"/>
        </w:rPr>
        <w:t xml:space="preserve">. </w:t>
      </w:r>
      <w:r>
        <w:rPr>
          <w:sz w:val="24"/>
          <w:szCs w:val="24"/>
        </w:rPr>
        <w:t xml:space="preserve"> In practice, lustration </w:t>
      </w:r>
      <w:r w:rsidRPr="00B84E16">
        <w:rPr>
          <w:sz w:val="24"/>
          <w:szCs w:val="24"/>
        </w:rPr>
        <w:t xml:space="preserve">can now include the screening of politicians, academics, </w:t>
      </w:r>
      <w:r>
        <w:rPr>
          <w:sz w:val="24"/>
          <w:szCs w:val="24"/>
        </w:rPr>
        <w:t xml:space="preserve">priests, journalists, </w:t>
      </w:r>
      <w:r w:rsidRPr="00B84E16">
        <w:rPr>
          <w:sz w:val="24"/>
          <w:szCs w:val="24"/>
        </w:rPr>
        <w:t>cultural directors, bankers, school teachers, an</w:t>
      </w:r>
      <w:r>
        <w:rPr>
          <w:sz w:val="24"/>
          <w:szCs w:val="24"/>
        </w:rPr>
        <w:t>d persons in broadly defined ‘</w:t>
      </w:r>
      <w:r w:rsidRPr="00B84E16">
        <w:rPr>
          <w:sz w:val="24"/>
          <w:szCs w:val="24"/>
        </w:rPr>
        <w:t>positions of public trus</w:t>
      </w:r>
      <w:r>
        <w:rPr>
          <w:sz w:val="24"/>
          <w:szCs w:val="24"/>
        </w:rPr>
        <w:t>t’</w:t>
      </w:r>
      <w:r w:rsidRPr="00B84E16">
        <w:rPr>
          <w:sz w:val="24"/>
          <w:szCs w:val="24"/>
        </w:rPr>
        <w:t xml:space="preserve"> for previous secret police collaboration</w:t>
      </w:r>
      <w:r>
        <w:rPr>
          <w:sz w:val="24"/>
          <w:szCs w:val="24"/>
        </w:rPr>
        <w:t>,</w:t>
      </w:r>
      <w:r w:rsidRPr="00B84E16">
        <w:rPr>
          <w:sz w:val="24"/>
          <w:szCs w:val="24"/>
        </w:rPr>
        <w:t xml:space="preserve"> or regime involvement, or active involvement in the communist party, or simply lying about that involvement, in order to determine their suitability</w:t>
      </w:r>
      <w:r w:rsidR="00CB54F6">
        <w:rPr>
          <w:sz w:val="24"/>
          <w:szCs w:val="24"/>
        </w:rPr>
        <w:t xml:space="preserve"> for a range of public and semi</w:t>
      </w:r>
      <w:r w:rsidRPr="00B84E16">
        <w:rPr>
          <w:sz w:val="24"/>
          <w:szCs w:val="24"/>
        </w:rPr>
        <w:t>-public positions of power</w:t>
      </w:r>
      <w:r>
        <w:rPr>
          <w:sz w:val="24"/>
          <w:szCs w:val="24"/>
        </w:rPr>
        <w:t>.</w:t>
      </w:r>
      <w:r>
        <w:rPr>
          <w:rStyle w:val="EndnoteReference"/>
          <w:sz w:val="24"/>
          <w:szCs w:val="24"/>
        </w:rPr>
        <w:endnoteReference w:id="5"/>
      </w:r>
      <w:r>
        <w:rPr>
          <w:sz w:val="24"/>
          <w:szCs w:val="24"/>
        </w:rPr>
        <w:t xml:space="preserve"> </w:t>
      </w:r>
      <w:r w:rsidRPr="00B84E16">
        <w:rPr>
          <w:sz w:val="24"/>
          <w:szCs w:val="24"/>
        </w:rPr>
        <w:t xml:space="preserve">These divergent approaches remain together under </w:t>
      </w:r>
      <w:r>
        <w:rPr>
          <w:sz w:val="24"/>
          <w:szCs w:val="24"/>
        </w:rPr>
        <w:t>an</w:t>
      </w:r>
      <w:r w:rsidRPr="00B84E16">
        <w:rPr>
          <w:sz w:val="24"/>
          <w:szCs w:val="24"/>
        </w:rPr>
        <w:t xml:space="preserve"> umbrella</w:t>
      </w:r>
      <w:r>
        <w:rPr>
          <w:sz w:val="24"/>
          <w:szCs w:val="24"/>
        </w:rPr>
        <w:t xml:space="preserve"> definition of lustration</w:t>
      </w:r>
      <w:r>
        <w:rPr>
          <w:color w:val="000000"/>
          <w:sz w:val="24"/>
          <w:szCs w:val="24"/>
        </w:rPr>
        <w:t xml:space="preserve">.  </w:t>
      </w:r>
    </w:p>
    <w:p w:rsidR="0064274E" w:rsidRDefault="0064274E" w:rsidP="00832E87">
      <w:pPr>
        <w:spacing w:after="0" w:line="480" w:lineRule="auto"/>
        <w:ind w:firstLine="720"/>
        <w:jc w:val="both"/>
        <w:rPr>
          <w:snapToGrid w:val="0"/>
          <w:sz w:val="24"/>
          <w:szCs w:val="24"/>
        </w:rPr>
      </w:pPr>
      <w:r>
        <w:rPr>
          <w:snapToGrid w:val="0"/>
          <w:sz w:val="24"/>
          <w:szCs w:val="24"/>
        </w:rPr>
        <w:t xml:space="preserve">Although the goals of lustration are included less frequently in definitions, the additions add depth to our understanding of what differentiates lustration from other types of vetting.  For example, </w:t>
      </w:r>
      <w:proofErr w:type="spellStart"/>
      <w:r>
        <w:rPr>
          <w:snapToGrid w:val="0"/>
          <w:sz w:val="24"/>
          <w:szCs w:val="24"/>
        </w:rPr>
        <w:t>Boed</w:t>
      </w:r>
      <w:proofErr w:type="spellEnd"/>
      <w:r>
        <w:rPr>
          <w:snapToGrid w:val="0"/>
          <w:sz w:val="24"/>
          <w:szCs w:val="24"/>
        </w:rPr>
        <w:t xml:space="preserve"> defined</w:t>
      </w:r>
      <w:r w:rsidRPr="00B84E16">
        <w:rPr>
          <w:snapToGrid w:val="0"/>
          <w:sz w:val="24"/>
          <w:szCs w:val="24"/>
        </w:rPr>
        <w:t xml:space="preserve"> lustration as “the purification of state organizations from their sins under the communist </w:t>
      </w:r>
      <w:r w:rsidRPr="00F72280">
        <w:rPr>
          <w:snapToGrid w:val="0"/>
          <w:sz w:val="24"/>
          <w:szCs w:val="24"/>
        </w:rPr>
        <w:t>regimes”</w:t>
      </w:r>
      <w:r>
        <w:rPr>
          <w:snapToGrid w:val="0"/>
          <w:sz w:val="24"/>
          <w:szCs w:val="24"/>
        </w:rPr>
        <w:t xml:space="preserve"> (</w:t>
      </w:r>
      <w:proofErr w:type="spellStart"/>
      <w:r>
        <w:rPr>
          <w:snapToGrid w:val="0"/>
          <w:sz w:val="24"/>
          <w:szCs w:val="24"/>
        </w:rPr>
        <w:t>Boed</w:t>
      </w:r>
      <w:proofErr w:type="spellEnd"/>
      <w:r>
        <w:rPr>
          <w:snapToGrid w:val="0"/>
          <w:sz w:val="24"/>
          <w:szCs w:val="24"/>
        </w:rPr>
        <w:t xml:space="preserve"> 1999, 358).</w:t>
      </w:r>
      <w:r w:rsidRPr="00F72280">
        <w:rPr>
          <w:snapToGrid w:val="0"/>
          <w:sz w:val="24"/>
          <w:szCs w:val="24"/>
        </w:rPr>
        <w:t xml:space="preserve"> </w:t>
      </w:r>
      <w:r>
        <w:rPr>
          <w:snapToGrid w:val="0"/>
          <w:sz w:val="24"/>
          <w:szCs w:val="24"/>
        </w:rPr>
        <w:t xml:space="preserve"> </w:t>
      </w:r>
      <w:proofErr w:type="spellStart"/>
      <w:r w:rsidRPr="00F72280">
        <w:rPr>
          <w:sz w:val="24"/>
          <w:szCs w:val="24"/>
        </w:rPr>
        <w:t>Vojtěch</w:t>
      </w:r>
      <w:proofErr w:type="spellEnd"/>
      <w:r w:rsidRPr="00F72280">
        <w:rPr>
          <w:snapToGrid w:val="0"/>
          <w:sz w:val="24"/>
          <w:szCs w:val="24"/>
        </w:rPr>
        <w:t xml:space="preserve"> </w:t>
      </w:r>
      <w:proofErr w:type="spellStart"/>
      <w:r w:rsidRPr="00F72280">
        <w:rPr>
          <w:snapToGrid w:val="0"/>
          <w:sz w:val="24"/>
          <w:szCs w:val="24"/>
        </w:rPr>
        <w:t>Cepl</w:t>
      </w:r>
      <w:proofErr w:type="spellEnd"/>
      <w:r w:rsidRPr="00F72280">
        <w:rPr>
          <w:snapToGrid w:val="0"/>
          <w:sz w:val="24"/>
          <w:szCs w:val="24"/>
        </w:rPr>
        <w:t>--former justice of the Constitutional Court of the Czech Republic-- defined lust</w:t>
      </w:r>
      <w:r w:rsidRPr="00B84E16">
        <w:rPr>
          <w:snapToGrid w:val="0"/>
          <w:sz w:val="24"/>
          <w:szCs w:val="24"/>
        </w:rPr>
        <w:t xml:space="preserve">ration </w:t>
      </w:r>
      <w:r>
        <w:rPr>
          <w:snapToGrid w:val="0"/>
          <w:sz w:val="24"/>
          <w:szCs w:val="24"/>
        </w:rPr>
        <w:t>as a form of “ritual purification” (</w:t>
      </w:r>
      <w:proofErr w:type="spellStart"/>
      <w:r>
        <w:rPr>
          <w:snapToGrid w:val="0"/>
          <w:sz w:val="24"/>
          <w:szCs w:val="24"/>
        </w:rPr>
        <w:t>Cepl</w:t>
      </w:r>
      <w:proofErr w:type="spellEnd"/>
      <w:r>
        <w:rPr>
          <w:snapToGrid w:val="0"/>
          <w:sz w:val="24"/>
          <w:szCs w:val="24"/>
        </w:rPr>
        <w:t xml:space="preserve"> and Gillis 1996). In this way, lustration illuminates or sheds light on the past, and therefore catalyzes a type of moral cleansing or purification that complements the expected bureaucratic changes.</w:t>
      </w:r>
      <w:r w:rsidRPr="00B84E16">
        <w:rPr>
          <w:snapToGrid w:val="0"/>
          <w:sz w:val="24"/>
          <w:szCs w:val="24"/>
        </w:rPr>
        <w:t xml:space="preserve"> </w:t>
      </w:r>
    </w:p>
    <w:p w:rsidR="0064274E" w:rsidRDefault="0064274E" w:rsidP="00B0640A">
      <w:pPr>
        <w:spacing w:after="0" w:line="480" w:lineRule="auto"/>
        <w:ind w:firstLine="720"/>
        <w:jc w:val="both"/>
        <w:rPr>
          <w:sz w:val="24"/>
          <w:szCs w:val="24"/>
        </w:rPr>
      </w:pPr>
      <w:r>
        <w:rPr>
          <w:color w:val="000000"/>
          <w:sz w:val="24"/>
          <w:szCs w:val="24"/>
        </w:rPr>
        <w:t>At its heart</w:t>
      </w:r>
      <w:r w:rsidRPr="00B84E16">
        <w:rPr>
          <w:color w:val="000000"/>
          <w:sz w:val="24"/>
          <w:szCs w:val="24"/>
        </w:rPr>
        <w:t xml:space="preserve"> </w:t>
      </w:r>
      <w:r>
        <w:rPr>
          <w:color w:val="000000"/>
          <w:sz w:val="24"/>
          <w:szCs w:val="24"/>
        </w:rPr>
        <w:t>lustration has an employment change dimension and a moral cleansing goal.</w:t>
      </w:r>
      <w:r>
        <w:rPr>
          <w:sz w:val="24"/>
          <w:szCs w:val="24"/>
        </w:rPr>
        <w:t xml:space="preserve"> As we will see with the cases of Bulgaria and Romania, the use of public disclosures in practice </w:t>
      </w:r>
      <w:r>
        <w:rPr>
          <w:sz w:val="24"/>
          <w:szCs w:val="24"/>
        </w:rPr>
        <w:lastRenderedPageBreak/>
        <w:t>mirrors many aspects of symbolic and employment change seen in other post-communist lustration programs.</w:t>
      </w:r>
    </w:p>
    <w:p w:rsidR="0064274E" w:rsidRDefault="0064274E" w:rsidP="00B0640A">
      <w:pPr>
        <w:spacing w:after="0" w:line="480" w:lineRule="auto"/>
        <w:ind w:firstLine="720"/>
        <w:jc w:val="both"/>
        <w:rPr>
          <w:sz w:val="24"/>
          <w:szCs w:val="24"/>
        </w:rPr>
      </w:pPr>
    </w:p>
    <w:p w:rsidR="0064274E" w:rsidRPr="00B0640A" w:rsidRDefault="0064274E" w:rsidP="00B0640A">
      <w:pPr>
        <w:spacing w:after="0" w:line="480" w:lineRule="auto"/>
        <w:jc w:val="both"/>
        <w:rPr>
          <w:sz w:val="24"/>
          <w:szCs w:val="24"/>
        </w:rPr>
      </w:pPr>
      <w:r>
        <w:rPr>
          <w:b/>
          <w:sz w:val="24"/>
          <w:szCs w:val="24"/>
        </w:rPr>
        <w:t>Background: Transitional Justice</w:t>
      </w:r>
      <w:r w:rsidRPr="003A6AB1">
        <w:rPr>
          <w:b/>
          <w:sz w:val="24"/>
          <w:szCs w:val="24"/>
        </w:rPr>
        <w:t xml:space="preserve"> in Bulgaria and Romania </w:t>
      </w:r>
    </w:p>
    <w:p w:rsidR="0064274E" w:rsidRDefault="0064274E" w:rsidP="00D14F09">
      <w:pPr>
        <w:spacing w:after="0" w:line="480" w:lineRule="auto"/>
        <w:ind w:firstLine="720"/>
        <w:rPr>
          <w:sz w:val="24"/>
          <w:szCs w:val="24"/>
        </w:rPr>
      </w:pPr>
      <w:r>
        <w:rPr>
          <w:sz w:val="24"/>
          <w:szCs w:val="24"/>
        </w:rPr>
        <w:t>Romania and Bulgaria lagged behind their regional counterparts coming to terms with their communist pasts, largely delaying, constraining, and failing to implement various attempts at lustration</w:t>
      </w:r>
      <w:r w:rsidR="00DB7088">
        <w:rPr>
          <w:sz w:val="24"/>
          <w:szCs w:val="24"/>
        </w:rPr>
        <w:t xml:space="preserve"> (Stan 2012; </w:t>
      </w:r>
      <w:proofErr w:type="spellStart"/>
      <w:r w:rsidR="00DB7088">
        <w:rPr>
          <w:sz w:val="24"/>
          <w:szCs w:val="24"/>
        </w:rPr>
        <w:t>Metodiev</w:t>
      </w:r>
      <w:proofErr w:type="spellEnd"/>
      <w:r w:rsidR="00DB7088">
        <w:rPr>
          <w:sz w:val="24"/>
          <w:szCs w:val="24"/>
        </w:rPr>
        <w:t xml:space="preserve"> 2013</w:t>
      </w:r>
      <w:r>
        <w:rPr>
          <w:sz w:val="24"/>
          <w:szCs w:val="24"/>
        </w:rPr>
        <w:t>)</w:t>
      </w:r>
      <w:r w:rsidRPr="00CF5438">
        <w:rPr>
          <w:rStyle w:val="EndnoteReference"/>
          <w:vertAlign w:val="baseline"/>
        </w:rPr>
        <w:t>.</w:t>
      </w:r>
      <w:r>
        <w:t xml:space="preserve"> </w:t>
      </w:r>
      <w:r w:rsidRPr="00BE76E4">
        <w:rPr>
          <w:rFonts w:eastAsia="Times New Roman"/>
          <w:color w:val="000000"/>
          <w:sz w:val="24"/>
          <w:szCs w:val="24"/>
        </w:rPr>
        <w:t xml:space="preserve">Stan suggests that the failure of the </w:t>
      </w:r>
      <w:proofErr w:type="spellStart"/>
      <w:r w:rsidRPr="00BE76E4">
        <w:rPr>
          <w:bCs/>
          <w:sz w:val="24"/>
          <w:szCs w:val="24"/>
        </w:rPr>
        <w:t>Timișoara</w:t>
      </w:r>
      <w:proofErr w:type="spellEnd"/>
      <w:r w:rsidRPr="00BE76E4">
        <w:rPr>
          <w:bCs/>
          <w:sz w:val="24"/>
          <w:szCs w:val="24"/>
        </w:rPr>
        <w:t xml:space="preserve"> Declaration </w:t>
      </w:r>
      <w:r>
        <w:rPr>
          <w:bCs/>
          <w:sz w:val="24"/>
          <w:szCs w:val="24"/>
        </w:rPr>
        <w:t xml:space="preserve">in Romania—an early call for lustration-- </w:t>
      </w:r>
      <w:r w:rsidRPr="00BE76E4">
        <w:rPr>
          <w:bCs/>
          <w:sz w:val="24"/>
          <w:szCs w:val="24"/>
        </w:rPr>
        <w:t>left an “indelible mark” on lustration, because “it was felt that to launch the lustration process the country had to condemn communism, a step few Romanians were willing to take”</w:t>
      </w:r>
      <w:r>
        <w:rPr>
          <w:bCs/>
          <w:sz w:val="24"/>
          <w:szCs w:val="24"/>
        </w:rPr>
        <w:t xml:space="preserve"> (Stan 2012, 91). </w:t>
      </w:r>
      <w:r w:rsidRPr="00BE76E4">
        <w:rPr>
          <w:bCs/>
          <w:sz w:val="24"/>
          <w:szCs w:val="24"/>
        </w:rPr>
        <w:t xml:space="preserve"> Bulgaria’s lustration efforts were similarly </w:t>
      </w:r>
      <w:r>
        <w:rPr>
          <w:bCs/>
          <w:sz w:val="24"/>
          <w:szCs w:val="24"/>
        </w:rPr>
        <w:t>stymied</w:t>
      </w:r>
      <w:r w:rsidRPr="00BE76E4">
        <w:rPr>
          <w:bCs/>
          <w:sz w:val="24"/>
          <w:szCs w:val="24"/>
        </w:rPr>
        <w:t xml:space="preserve"> by an unwillingness to condemn communism.  While all parties could agree that the Soviet occupation and forced communist system should be condemned, there was "silence" regarding </w:t>
      </w:r>
      <w:r>
        <w:rPr>
          <w:bCs/>
          <w:sz w:val="24"/>
          <w:szCs w:val="24"/>
        </w:rPr>
        <w:t xml:space="preserve">how to interpret </w:t>
      </w:r>
      <w:proofErr w:type="spellStart"/>
      <w:r w:rsidRPr="00BE76E4">
        <w:rPr>
          <w:bCs/>
          <w:sz w:val="24"/>
          <w:szCs w:val="24"/>
        </w:rPr>
        <w:t>Ceaușescu</w:t>
      </w:r>
      <w:r>
        <w:rPr>
          <w:bCs/>
          <w:sz w:val="24"/>
          <w:szCs w:val="24"/>
        </w:rPr>
        <w:t>’s</w:t>
      </w:r>
      <w:proofErr w:type="spellEnd"/>
      <w:r>
        <w:rPr>
          <w:bCs/>
          <w:sz w:val="24"/>
          <w:szCs w:val="24"/>
        </w:rPr>
        <w:t xml:space="preserve"> legacy in Romania</w:t>
      </w:r>
      <w:r w:rsidRPr="00BE76E4">
        <w:rPr>
          <w:bCs/>
          <w:sz w:val="24"/>
          <w:szCs w:val="24"/>
        </w:rPr>
        <w:t xml:space="preserve"> </w:t>
      </w:r>
      <w:r>
        <w:rPr>
          <w:bCs/>
          <w:sz w:val="24"/>
          <w:szCs w:val="24"/>
        </w:rPr>
        <w:t xml:space="preserve">or </w:t>
      </w:r>
      <w:proofErr w:type="spellStart"/>
      <w:r>
        <w:rPr>
          <w:bCs/>
          <w:sz w:val="24"/>
          <w:szCs w:val="24"/>
        </w:rPr>
        <w:t>Zhivkov’s</w:t>
      </w:r>
      <w:proofErr w:type="spellEnd"/>
      <w:r>
        <w:rPr>
          <w:bCs/>
          <w:sz w:val="24"/>
          <w:szCs w:val="24"/>
        </w:rPr>
        <w:t xml:space="preserve"> legacy in Bulgaria</w:t>
      </w:r>
      <w:r w:rsidRPr="00BE76E4">
        <w:rPr>
          <w:bCs/>
          <w:sz w:val="24"/>
          <w:szCs w:val="24"/>
        </w:rPr>
        <w:t>.</w:t>
      </w:r>
      <w:r w:rsidRPr="00BE76E4">
        <w:rPr>
          <w:rStyle w:val="EndnoteReference"/>
          <w:bCs/>
          <w:sz w:val="24"/>
          <w:szCs w:val="24"/>
        </w:rPr>
        <w:endnoteReference w:id="6"/>
      </w:r>
      <w:r w:rsidR="003E26EB">
        <w:rPr>
          <w:bCs/>
          <w:sz w:val="24"/>
          <w:szCs w:val="24"/>
        </w:rPr>
        <w:t xml:space="preserve"> Additionally, opposition to lustration </w:t>
      </w:r>
      <w:r w:rsidRPr="00BE76E4">
        <w:rPr>
          <w:rFonts w:eastAsia="Times New Roman"/>
          <w:color w:val="000000"/>
          <w:sz w:val="24"/>
          <w:szCs w:val="24"/>
        </w:rPr>
        <w:tab/>
      </w:r>
    </w:p>
    <w:p w:rsidR="0064274E" w:rsidRPr="00515E30" w:rsidRDefault="0064274E" w:rsidP="007C392E">
      <w:pPr>
        <w:spacing w:after="0" w:line="480" w:lineRule="auto"/>
        <w:ind w:firstLine="720"/>
        <w:rPr>
          <w:b/>
          <w:i/>
          <w:sz w:val="24"/>
          <w:szCs w:val="24"/>
        </w:rPr>
      </w:pPr>
      <w:r>
        <w:rPr>
          <w:b/>
          <w:i/>
          <w:sz w:val="24"/>
          <w:szCs w:val="24"/>
        </w:rPr>
        <w:t>Bulgaria: Situating the Dossier Commission in Historical Context</w:t>
      </w:r>
    </w:p>
    <w:p w:rsidR="00473E13" w:rsidRDefault="0064274E" w:rsidP="00824BA0">
      <w:pPr>
        <w:spacing w:after="0" w:line="480" w:lineRule="auto"/>
        <w:jc w:val="both"/>
        <w:rPr>
          <w:sz w:val="24"/>
          <w:szCs w:val="24"/>
        </w:rPr>
      </w:pPr>
      <w:r w:rsidRPr="00BE76E4">
        <w:rPr>
          <w:sz w:val="24"/>
          <w:szCs w:val="24"/>
        </w:rPr>
        <w:tab/>
      </w:r>
      <w:r w:rsidR="00AA3193">
        <w:rPr>
          <w:sz w:val="24"/>
          <w:szCs w:val="24"/>
        </w:rPr>
        <w:t>Bulgaria’s complex political landscape of shifting political coalitions and parliament</w:t>
      </w:r>
      <w:r w:rsidR="00473E13">
        <w:rPr>
          <w:sz w:val="24"/>
          <w:szCs w:val="24"/>
        </w:rPr>
        <w:t>ary power</w:t>
      </w:r>
      <w:r w:rsidR="00AA3193">
        <w:rPr>
          <w:sz w:val="24"/>
          <w:szCs w:val="24"/>
        </w:rPr>
        <w:t xml:space="preserve"> has affected the proposal of and implementation of lustration legislation. Even at the beginning of the transition, there was mixed support for lustration among the anti-communists, and outright opposition to lustration from the former communist parties</w:t>
      </w:r>
      <w:r w:rsidR="009B11B9">
        <w:rPr>
          <w:sz w:val="24"/>
          <w:szCs w:val="24"/>
        </w:rPr>
        <w:t xml:space="preserve"> (Helsinki Watch 1993)</w:t>
      </w:r>
      <w:r w:rsidR="00AA3193">
        <w:rPr>
          <w:sz w:val="24"/>
          <w:szCs w:val="24"/>
        </w:rPr>
        <w:t xml:space="preserve">. </w:t>
      </w:r>
      <w:r w:rsidR="00FF2297">
        <w:rPr>
          <w:sz w:val="24"/>
          <w:szCs w:val="24"/>
        </w:rPr>
        <w:t>In October</w:t>
      </w:r>
      <w:r w:rsidR="007F028F">
        <w:rPr>
          <w:sz w:val="24"/>
          <w:szCs w:val="24"/>
        </w:rPr>
        <w:t xml:space="preserve"> 1991, the Union of Democratic </w:t>
      </w:r>
      <w:r w:rsidR="00395449">
        <w:rPr>
          <w:sz w:val="24"/>
          <w:szCs w:val="24"/>
        </w:rPr>
        <w:t>Forces (UDF--</w:t>
      </w:r>
      <w:r w:rsidR="00FF2297">
        <w:rPr>
          <w:sz w:val="24"/>
          <w:szCs w:val="24"/>
        </w:rPr>
        <w:t xml:space="preserve"> a coalition of anti-communist parties) won 110 seats in parliament compared to the 106 for the Bulgarian Socialist Party (the former Communist Party)</w:t>
      </w:r>
      <w:r w:rsidR="007F028F">
        <w:rPr>
          <w:sz w:val="24"/>
          <w:szCs w:val="24"/>
        </w:rPr>
        <w:t xml:space="preserve"> (Helsinki Watch 1993</w:t>
      </w:r>
      <w:r w:rsidR="009B11B9">
        <w:rPr>
          <w:sz w:val="24"/>
          <w:szCs w:val="24"/>
        </w:rPr>
        <w:t>, 2</w:t>
      </w:r>
      <w:r w:rsidR="007F028F">
        <w:rPr>
          <w:sz w:val="24"/>
          <w:szCs w:val="24"/>
        </w:rPr>
        <w:t>)</w:t>
      </w:r>
      <w:r w:rsidR="00FF2297">
        <w:rPr>
          <w:sz w:val="24"/>
          <w:szCs w:val="24"/>
        </w:rPr>
        <w:t xml:space="preserve">.  </w:t>
      </w:r>
      <w:r w:rsidR="007F028F">
        <w:rPr>
          <w:sz w:val="24"/>
          <w:szCs w:val="24"/>
        </w:rPr>
        <w:t xml:space="preserve">This gave the anti-communists a slim majority over the former communists, </w:t>
      </w:r>
      <w:r w:rsidR="00A86565">
        <w:rPr>
          <w:sz w:val="24"/>
          <w:szCs w:val="24"/>
        </w:rPr>
        <w:t xml:space="preserve">allowing them to pass lustration legislation but </w:t>
      </w:r>
      <w:r w:rsidR="007F028F">
        <w:rPr>
          <w:sz w:val="24"/>
          <w:szCs w:val="24"/>
        </w:rPr>
        <w:t xml:space="preserve">limiting their ability </w:t>
      </w:r>
      <w:r w:rsidR="007F028F">
        <w:rPr>
          <w:sz w:val="24"/>
          <w:szCs w:val="24"/>
        </w:rPr>
        <w:lastRenderedPageBreak/>
        <w:t xml:space="preserve">to push </w:t>
      </w:r>
      <w:r w:rsidR="00A86565">
        <w:rPr>
          <w:sz w:val="24"/>
          <w:szCs w:val="24"/>
        </w:rPr>
        <w:t>for real implementation</w:t>
      </w:r>
      <w:r w:rsidR="007F028F">
        <w:rPr>
          <w:sz w:val="24"/>
          <w:szCs w:val="24"/>
        </w:rPr>
        <w:t xml:space="preserve">. </w:t>
      </w:r>
      <w:r w:rsidR="009B11B9">
        <w:rPr>
          <w:sz w:val="24"/>
          <w:szCs w:val="24"/>
        </w:rPr>
        <w:t xml:space="preserve">Additionally, the UDF split into factions in 1991 with </w:t>
      </w:r>
      <w:r w:rsidR="007F028F">
        <w:rPr>
          <w:sz w:val="24"/>
          <w:szCs w:val="24"/>
        </w:rPr>
        <w:t>‘</w:t>
      </w:r>
      <w:r w:rsidR="00FF2297">
        <w:rPr>
          <w:sz w:val="24"/>
          <w:szCs w:val="24"/>
        </w:rPr>
        <w:t>Dark Blue</w:t>
      </w:r>
      <w:r w:rsidR="007F028F">
        <w:rPr>
          <w:sz w:val="24"/>
          <w:szCs w:val="24"/>
        </w:rPr>
        <w:t>’</w:t>
      </w:r>
      <w:r w:rsidR="00FF2297">
        <w:rPr>
          <w:sz w:val="24"/>
          <w:szCs w:val="24"/>
        </w:rPr>
        <w:t xml:space="preserve"> </w:t>
      </w:r>
      <w:r w:rsidR="007F028F">
        <w:rPr>
          <w:sz w:val="24"/>
          <w:szCs w:val="24"/>
        </w:rPr>
        <w:t xml:space="preserve">proponents </w:t>
      </w:r>
      <w:r w:rsidR="00395449">
        <w:rPr>
          <w:sz w:val="24"/>
          <w:szCs w:val="24"/>
        </w:rPr>
        <w:t>supporting a</w:t>
      </w:r>
      <w:r w:rsidR="007F028F">
        <w:rPr>
          <w:sz w:val="24"/>
          <w:szCs w:val="24"/>
        </w:rPr>
        <w:t xml:space="preserve"> more extensive decommunization program and ‘Light Blue’ proponents </w:t>
      </w:r>
      <w:r w:rsidR="00395449">
        <w:rPr>
          <w:sz w:val="24"/>
          <w:szCs w:val="24"/>
        </w:rPr>
        <w:t>calling for a</w:t>
      </w:r>
      <w:r w:rsidR="007F028F">
        <w:rPr>
          <w:sz w:val="24"/>
          <w:szCs w:val="24"/>
        </w:rPr>
        <w:t xml:space="preserve"> less radical approach to decommunization (Helsinki Watch 1993, 3). </w:t>
      </w:r>
      <w:r w:rsidR="009B11B9">
        <w:rPr>
          <w:sz w:val="24"/>
          <w:szCs w:val="24"/>
        </w:rPr>
        <w:t xml:space="preserve">These fissures in the anticommunist coalitions affected the scope of lustration proposed and the political will for implementation. </w:t>
      </w:r>
      <w:r w:rsidR="00473E13">
        <w:rPr>
          <w:sz w:val="24"/>
          <w:szCs w:val="24"/>
        </w:rPr>
        <w:t>Like Romania, opposition to lustration cannot be simplistically blamed on the former communists in parliament; at various times the anticommunists have also rejected lustration and various other actors—such as the President and Constitutional Court—have weighed in to limit or constrain decommunization efforts.</w:t>
      </w:r>
    </w:p>
    <w:p w:rsidR="0064274E" w:rsidRDefault="009B11B9" w:rsidP="00824BA0">
      <w:pPr>
        <w:spacing w:after="0" w:line="480" w:lineRule="auto"/>
        <w:jc w:val="both"/>
        <w:rPr>
          <w:sz w:val="24"/>
          <w:szCs w:val="24"/>
        </w:rPr>
      </w:pPr>
      <w:r>
        <w:rPr>
          <w:sz w:val="24"/>
          <w:szCs w:val="24"/>
        </w:rPr>
        <w:tab/>
        <w:t xml:space="preserve">For example, </w:t>
      </w:r>
      <w:r w:rsidR="007F5A49">
        <w:rPr>
          <w:sz w:val="24"/>
          <w:szCs w:val="24"/>
        </w:rPr>
        <w:t xml:space="preserve">in 1991 </w:t>
      </w:r>
      <w:r>
        <w:rPr>
          <w:sz w:val="24"/>
          <w:szCs w:val="24"/>
        </w:rPr>
        <w:t>t</w:t>
      </w:r>
      <w:r w:rsidR="007F028F">
        <w:rPr>
          <w:sz w:val="24"/>
          <w:szCs w:val="24"/>
        </w:rPr>
        <w:t xml:space="preserve">he UDF dominated parliament put forward and passed </w:t>
      </w:r>
      <w:r w:rsidR="0064274E" w:rsidRPr="00BE76E4">
        <w:rPr>
          <w:sz w:val="24"/>
          <w:szCs w:val="24"/>
        </w:rPr>
        <w:t>several</w:t>
      </w:r>
      <w:r w:rsidR="007F5A49">
        <w:rPr>
          <w:sz w:val="24"/>
          <w:szCs w:val="24"/>
        </w:rPr>
        <w:t xml:space="preserve"> lustration laws </w:t>
      </w:r>
      <w:r w:rsidR="0064274E" w:rsidRPr="00BE76E4">
        <w:rPr>
          <w:sz w:val="24"/>
          <w:szCs w:val="24"/>
        </w:rPr>
        <w:t xml:space="preserve">that included provisions to ban </w:t>
      </w:r>
      <w:r w:rsidR="0064274E">
        <w:rPr>
          <w:sz w:val="24"/>
          <w:szCs w:val="24"/>
        </w:rPr>
        <w:t xml:space="preserve">selected groups of </w:t>
      </w:r>
      <w:r w:rsidR="0064274E" w:rsidRPr="00BE76E4">
        <w:rPr>
          <w:sz w:val="24"/>
          <w:szCs w:val="24"/>
        </w:rPr>
        <w:t xml:space="preserve">officials from </w:t>
      </w:r>
      <w:r w:rsidR="0064274E">
        <w:rPr>
          <w:sz w:val="24"/>
          <w:szCs w:val="24"/>
        </w:rPr>
        <w:t>public</w:t>
      </w:r>
      <w:r w:rsidR="0064274E" w:rsidRPr="00BE76E4">
        <w:rPr>
          <w:sz w:val="24"/>
          <w:szCs w:val="24"/>
        </w:rPr>
        <w:t xml:space="preserve"> employment positions, so in their design the</w:t>
      </w:r>
      <w:r w:rsidR="0064274E">
        <w:rPr>
          <w:sz w:val="24"/>
          <w:szCs w:val="24"/>
        </w:rPr>
        <w:t xml:space="preserve"> measures resona</w:t>
      </w:r>
      <w:r w:rsidR="0064274E" w:rsidRPr="00BE76E4">
        <w:rPr>
          <w:sz w:val="24"/>
          <w:szCs w:val="24"/>
        </w:rPr>
        <w:t>t</w:t>
      </w:r>
      <w:r w:rsidR="0064274E">
        <w:rPr>
          <w:sz w:val="24"/>
          <w:szCs w:val="24"/>
        </w:rPr>
        <w:t>ed with</w:t>
      </w:r>
      <w:r w:rsidR="0064274E" w:rsidRPr="00BE76E4">
        <w:rPr>
          <w:sz w:val="24"/>
          <w:szCs w:val="24"/>
        </w:rPr>
        <w:t xml:space="preserve"> other regional lust</w:t>
      </w:r>
      <w:r w:rsidR="0064274E">
        <w:rPr>
          <w:sz w:val="24"/>
          <w:szCs w:val="24"/>
        </w:rPr>
        <w:t xml:space="preserve">ration policies.  However, the </w:t>
      </w:r>
      <w:r w:rsidR="00FF2297">
        <w:rPr>
          <w:sz w:val="24"/>
          <w:szCs w:val="24"/>
        </w:rPr>
        <w:t xml:space="preserve">laws </w:t>
      </w:r>
      <w:r w:rsidR="0064274E">
        <w:rPr>
          <w:sz w:val="24"/>
          <w:szCs w:val="24"/>
        </w:rPr>
        <w:t>avoided public office holders, targeting academic positions and</w:t>
      </w:r>
      <w:r w:rsidR="0064274E" w:rsidRPr="00BE76E4">
        <w:rPr>
          <w:sz w:val="24"/>
          <w:szCs w:val="24"/>
        </w:rPr>
        <w:t xml:space="preserve"> banking positions</w:t>
      </w:r>
      <w:r w:rsidR="007F5A49">
        <w:rPr>
          <w:sz w:val="24"/>
          <w:szCs w:val="24"/>
        </w:rPr>
        <w:t>, and the UDF lost control of parliament in 1992 to Socialists, thereby changing support for the measures almost immediately after passage</w:t>
      </w:r>
      <w:r w:rsidR="007F028F">
        <w:rPr>
          <w:sz w:val="24"/>
          <w:szCs w:val="24"/>
        </w:rPr>
        <w:t xml:space="preserve">. </w:t>
      </w:r>
      <w:r w:rsidR="0064274E" w:rsidRPr="00BE76E4">
        <w:rPr>
          <w:sz w:val="24"/>
          <w:szCs w:val="24"/>
        </w:rPr>
        <w:t xml:space="preserve">For example, the Law on Banking and Credit was </w:t>
      </w:r>
      <w:r w:rsidR="0064274E">
        <w:rPr>
          <w:sz w:val="24"/>
          <w:szCs w:val="24"/>
        </w:rPr>
        <w:t>passed</w:t>
      </w:r>
      <w:r w:rsidR="00A86565">
        <w:rPr>
          <w:sz w:val="24"/>
          <w:szCs w:val="24"/>
        </w:rPr>
        <w:t xml:space="preserve"> in parliament but immediately questioned by </w:t>
      </w:r>
      <w:r w:rsidR="00780A55">
        <w:rPr>
          <w:sz w:val="24"/>
          <w:szCs w:val="24"/>
        </w:rPr>
        <w:t xml:space="preserve">UDF party </w:t>
      </w:r>
      <w:r w:rsidR="00A86565">
        <w:rPr>
          <w:sz w:val="24"/>
          <w:szCs w:val="24"/>
        </w:rPr>
        <w:t xml:space="preserve">President </w:t>
      </w:r>
      <w:proofErr w:type="spellStart"/>
      <w:r w:rsidR="00A86565">
        <w:rPr>
          <w:sz w:val="24"/>
          <w:szCs w:val="24"/>
        </w:rPr>
        <w:t>Zhelyu</w:t>
      </w:r>
      <w:proofErr w:type="spellEnd"/>
      <w:r w:rsidR="00A86565">
        <w:rPr>
          <w:sz w:val="24"/>
          <w:szCs w:val="24"/>
        </w:rPr>
        <w:t xml:space="preserve"> </w:t>
      </w:r>
      <w:proofErr w:type="spellStart"/>
      <w:r w:rsidR="00A86565">
        <w:rPr>
          <w:sz w:val="24"/>
          <w:szCs w:val="24"/>
        </w:rPr>
        <w:t>Zhelev</w:t>
      </w:r>
      <w:proofErr w:type="spellEnd"/>
      <w:r w:rsidR="00A86565">
        <w:rPr>
          <w:sz w:val="24"/>
          <w:szCs w:val="24"/>
        </w:rPr>
        <w:t>, submitted to the Constitutional Court for review,</w:t>
      </w:r>
      <w:r w:rsidR="0064274E">
        <w:rPr>
          <w:sz w:val="24"/>
          <w:szCs w:val="24"/>
        </w:rPr>
        <w:t xml:space="preserve"> subsequently </w:t>
      </w:r>
      <w:r w:rsidR="0064274E" w:rsidRPr="00BE76E4">
        <w:rPr>
          <w:sz w:val="24"/>
          <w:szCs w:val="24"/>
        </w:rPr>
        <w:t>de</w:t>
      </w:r>
      <w:r w:rsidR="00A86565">
        <w:rPr>
          <w:sz w:val="24"/>
          <w:szCs w:val="24"/>
        </w:rPr>
        <w:t>clared unconstitutional in 1992 (by a Constitutional Court full of former communist appointees) and never implemented</w:t>
      </w:r>
      <w:r>
        <w:rPr>
          <w:sz w:val="24"/>
          <w:szCs w:val="24"/>
        </w:rPr>
        <w:t xml:space="preserve"> (Helsinki Watch 1993, 2)</w:t>
      </w:r>
      <w:r w:rsidR="00A86565">
        <w:rPr>
          <w:sz w:val="24"/>
          <w:szCs w:val="24"/>
        </w:rPr>
        <w:t>. It was</w:t>
      </w:r>
      <w:r w:rsidR="0064274E" w:rsidRPr="00BE76E4">
        <w:rPr>
          <w:sz w:val="24"/>
          <w:szCs w:val="24"/>
        </w:rPr>
        <w:t xml:space="preserve"> </w:t>
      </w:r>
      <w:r w:rsidR="0064274E">
        <w:rPr>
          <w:sz w:val="24"/>
          <w:szCs w:val="24"/>
        </w:rPr>
        <w:t xml:space="preserve">eventually </w:t>
      </w:r>
      <w:r w:rsidR="0064274E" w:rsidRPr="00BE76E4">
        <w:rPr>
          <w:sz w:val="24"/>
          <w:szCs w:val="24"/>
        </w:rPr>
        <w:t>abolished by Parliament in 1997</w:t>
      </w:r>
      <w:r w:rsidR="00A86565">
        <w:rPr>
          <w:sz w:val="24"/>
          <w:szCs w:val="24"/>
        </w:rPr>
        <w:t xml:space="preserve"> </w:t>
      </w:r>
      <w:r w:rsidR="007F5A49">
        <w:rPr>
          <w:sz w:val="24"/>
          <w:szCs w:val="24"/>
        </w:rPr>
        <w:t>by a</w:t>
      </w:r>
      <w:r w:rsidR="00A86565">
        <w:rPr>
          <w:sz w:val="24"/>
          <w:szCs w:val="24"/>
        </w:rPr>
        <w:t xml:space="preserve"> Socialist Party </w:t>
      </w:r>
      <w:r w:rsidR="007F5A49">
        <w:rPr>
          <w:sz w:val="24"/>
          <w:szCs w:val="24"/>
        </w:rPr>
        <w:t>led government</w:t>
      </w:r>
      <w:r w:rsidR="0064274E">
        <w:rPr>
          <w:sz w:val="24"/>
          <w:szCs w:val="24"/>
        </w:rPr>
        <w:t xml:space="preserve"> (Kritz 1995b; Kritz 1995c)</w:t>
      </w:r>
      <w:r w:rsidR="0064274E" w:rsidRPr="00BE76E4">
        <w:rPr>
          <w:sz w:val="24"/>
          <w:szCs w:val="24"/>
        </w:rPr>
        <w:t>.</w:t>
      </w:r>
      <w:r w:rsidR="00A86565">
        <w:rPr>
          <w:rStyle w:val="EndnoteReference"/>
          <w:sz w:val="24"/>
          <w:szCs w:val="24"/>
        </w:rPr>
        <w:endnoteReference w:id="7"/>
      </w:r>
      <w:r w:rsidR="0064274E" w:rsidRPr="00BE76E4">
        <w:rPr>
          <w:sz w:val="24"/>
          <w:szCs w:val="24"/>
        </w:rPr>
        <w:t xml:space="preserve">  </w:t>
      </w:r>
      <w:r w:rsidR="00A86565">
        <w:rPr>
          <w:sz w:val="24"/>
          <w:szCs w:val="24"/>
        </w:rPr>
        <w:t>Similarly, t</w:t>
      </w:r>
      <w:r w:rsidR="0064274E" w:rsidRPr="00BE76E4">
        <w:rPr>
          <w:sz w:val="24"/>
          <w:szCs w:val="24"/>
        </w:rPr>
        <w:t xml:space="preserve">he 1992 </w:t>
      </w:r>
      <w:proofErr w:type="spellStart"/>
      <w:r w:rsidR="0064274E" w:rsidRPr="00BE76E4">
        <w:rPr>
          <w:sz w:val="24"/>
          <w:szCs w:val="24"/>
        </w:rPr>
        <w:t>Panev</w:t>
      </w:r>
      <w:proofErr w:type="spellEnd"/>
      <w:r w:rsidR="0064274E" w:rsidRPr="00BE76E4">
        <w:rPr>
          <w:sz w:val="24"/>
          <w:szCs w:val="24"/>
        </w:rPr>
        <w:t xml:space="preserve"> Bill targeted academics and scientific institutions, </w:t>
      </w:r>
      <w:r w:rsidR="0064274E">
        <w:rPr>
          <w:sz w:val="24"/>
          <w:szCs w:val="24"/>
        </w:rPr>
        <w:t>largely distracting the process of lustration from high ranking office holders (Kritz 1995a)</w:t>
      </w:r>
      <w:r w:rsidR="007F028F">
        <w:rPr>
          <w:sz w:val="24"/>
          <w:szCs w:val="24"/>
        </w:rPr>
        <w:t>, and it was abolished in 1995 by the Socialist dominated Parliament at the time</w:t>
      </w:r>
      <w:r w:rsidR="0064274E">
        <w:rPr>
          <w:sz w:val="24"/>
          <w:szCs w:val="24"/>
        </w:rPr>
        <w:t>.</w:t>
      </w:r>
      <w:r w:rsidR="0064274E" w:rsidRPr="00BE76E4">
        <w:rPr>
          <w:rStyle w:val="EndnoteReference"/>
          <w:sz w:val="24"/>
          <w:szCs w:val="24"/>
        </w:rPr>
        <w:endnoteReference w:id="8"/>
      </w:r>
      <w:r w:rsidR="0064274E" w:rsidRPr="00BE76E4">
        <w:rPr>
          <w:sz w:val="24"/>
          <w:szCs w:val="24"/>
        </w:rPr>
        <w:t xml:space="preserve"> </w:t>
      </w:r>
      <w:r w:rsidR="0064274E">
        <w:rPr>
          <w:sz w:val="24"/>
          <w:szCs w:val="24"/>
        </w:rPr>
        <w:t>T</w:t>
      </w:r>
      <w:r w:rsidR="0064274E" w:rsidRPr="00BE76E4">
        <w:rPr>
          <w:sz w:val="24"/>
          <w:szCs w:val="24"/>
        </w:rPr>
        <w:t>he 1998 Law on Public R</w:t>
      </w:r>
      <w:r w:rsidR="0064274E">
        <w:rPr>
          <w:sz w:val="24"/>
          <w:szCs w:val="24"/>
        </w:rPr>
        <w:t>adio and Television resulted in the removal of one person from the</w:t>
      </w:r>
      <w:r w:rsidR="0064274E" w:rsidRPr="00BE76E4">
        <w:rPr>
          <w:sz w:val="24"/>
          <w:szCs w:val="24"/>
        </w:rPr>
        <w:t xml:space="preserve"> Council for Electronic Media. </w:t>
      </w:r>
      <w:r w:rsidR="0064274E">
        <w:rPr>
          <w:sz w:val="24"/>
          <w:szCs w:val="24"/>
        </w:rPr>
        <w:t xml:space="preserve">In general, Bulgaria’s exceedingly limited lustration focused </w:t>
      </w:r>
      <w:r w:rsidR="0064274E">
        <w:rPr>
          <w:sz w:val="24"/>
          <w:szCs w:val="24"/>
        </w:rPr>
        <w:lastRenderedPageBreak/>
        <w:t>on a very narrow group of low</w:t>
      </w:r>
      <w:r w:rsidR="0064274E" w:rsidRPr="00BE76E4">
        <w:rPr>
          <w:sz w:val="24"/>
          <w:szCs w:val="24"/>
        </w:rPr>
        <w:t xml:space="preserve"> ranking public employees, </w:t>
      </w:r>
      <w:r>
        <w:rPr>
          <w:sz w:val="24"/>
          <w:szCs w:val="24"/>
        </w:rPr>
        <w:t>avoid</w:t>
      </w:r>
      <w:r w:rsidR="00473E13">
        <w:rPr>
          <w:sz w:val="24"/>
          <w:szCs w:val="24"/>
        </w:rPr>
        <w:t>ed</w:t>
      </w:r>
      <w:r w:rsidR="0064274E" w:rsidRPr="00BE76E4">
        <w:rPr>
          <w:sz w:val="24"/>
          <w:szCs w:val="24"/>
        </w:rPr>
        <w:t xml:space="preserve"> a real overhau</w:t>
      </w:r>
      <w:r w:rsidR="0064274E">
        <w:rPr>
          <w:sz w:val="24"/>
          <w:szCs w:val="24"/>
        </w:rPr>
        <w:t xml:space="preserve">l of the political leadership. In essence, there was no lustration in practice. </w:t>
      </w:r>
    </w:p>
    <w:p w:rsidR="00AE1ACE" w:rsidRDefault="0064274E" w:rsidP="00B0640A">
      <w:pPr>
        <w:spacing w:after="0" w:line="480" w:lineRule="auto"/>
        <w:jc w:val="both"/>
        <w:rPr>
          <w:sz w:val="24"/>
          <w:szCs w:val="24"/>
        </w:rPr>
      </w:pPr>
      <w:r>
        <w:rPr>
          <w:sz w:val="24"/>
          <w:szCs w:val="24"/>
        </w:rPr>
        <w:tab/>
        <w:t xml:space="preserve">The same systematic avoidance of transitional justice was evident with Bulgaria’s approach to public disclosure of the secret police files. </w:t>
      </w:r>
      <w:r w:rsidR="007F5A49">
        <w:rPr>
          <w:sz w:val="24"/>
          <w:szCs w:val="24"/>
        </w:rPr>
        <w:t>Although t</w:t>
      </w:r>
      <w:r w:rsidR="00AE1ACE">
        <w:rPr>
          <w:sz w:val="24"/>
          <w:szCs w:val="24"/>
        </w:rPr>
        <w:t xml:space="preserve">he Socialist Party systematically opposed the opening of the archives, in 1990 the </w:t>
      </w:r>
      <w:r w:rsidR="007F5A49">
        <w:rPr>
          <w:sz w:val="24"/>
          <w:szCs w:val="24"/>
        </w:rPr>
        <w:t xml:space="preserve">Socialist </w:t>
      </w:r>
      <w:r w:rsidR="00AE1ACE">
        <w:rPr>
          <w:sz w:val="24"/>
          <w:szCs w:val="24"/>
        </w:rPr>
        <w:t xml:space="preserve">Parliament created a Special Parliamentary Commission on the State Security Archives chaired by Socialist Party member </w:t>
      </w:r>
      <w:proofErr w:type="spellStart"/>
      <w:r w:rsidR="00AE1ACE">
        <w:rPr>
          <w:sz w:val="24"/>
          <w:szCs w:val="24"/>
        </w:rPr>
        <w:t>Georgi</w:t>
      </w:r>
      <w:proofErr w:type="spellEnd"/>
      <w:r w:rsidR="00AE1ACE">
        <w:rPr>
          <w:sz w:val="24"/>
          <w:szCs w:val="24"/>
        </w:rPr>
        <w:t xml:space="preserve"> </w:t>
      </w:r>
      <w:proofErr w:type="spellStart"/>
      <w:r w:rsidR="00AE1ACE">
        <w:rPr>
          <w:sz w:val="24"/>
          <w:szCs w:val="24"/>
        </w:rPr>
        <w:t>Tambuev</w:t>
      </w:r>
      <w:proofErr w:type="spellEnd"/>
      <w:r w:rsidR="00AE1ACE">
        <w:rPr>
          <w:sz w:val="24"/>
          <w:szCs w:val="24"/>
        </w:rPr>
        <w:t xml:space="preserve"> to oversee the opening of the file archives (</w:t>
      </w:r>
      <w:proofErr w:type="spellStart"/>
      <w:r w:rsidR="00AE1ACE">
        <w:rPr>
          <w:sz w:val="24"/>
          <w:szCs w:val="24"/>
        </w:rPr>
        <w:t>Metodiev</w:t>
      </w:r>
      <w:proofErr w:type="spellEnd"/>
      <w:r w:rsidR="00AE1ACE">
        <w:rPr>
          <w:sz w:val="24"/>
          <w:szCs w:val="24"/>
        </w:rPr>
        <w:t xml:space="preserve"> 2013). Although a scandal involving the publication of a list of informers in parliament undermined this Commission, it demonstrates that even Socialist dominated parliaments </w:t>
      </w:r>
      <w:r w:rsidR="007F5A49">
        <w:rPr>
          <w:sz w:val="24"/>
          <w:szCs w:val="24"/>
        </w:rPr>
        <w:t xml:space="preserve">have put forward some </w:t>
      </w:r>
      <w:r w:rsidR="00AE1ACE">
        <w:rPr>
          <w:sz w:val="24"/>
          <w:szCs w:val="24"/>
        </w:rPr>
        <w:t xml:space="preserve">accountability measures. </w:t>
      </w:r>
    </w:p>
    <w:p w:rsidR="0064274E" w:rsidRDefault="00AE1ACE" w:rsidP="00B0640A">
      <w:pPr>
        <w:spacing w:after="0" w:line="480" w:lineRule="auto"/>
        <w:jc w:val="both"/>
        <w:rPr>
          <w:sz w:val="24"/>
          <w:szCs w:val="24"/>
        </w:rPr>
      </w:pPr>
      <w:r>
        <w:rPr>
          <w:sz w:val="24"/>
          <w:szCs w:val="24"/>
        </w:rPr>
        <w:tab/>
        <w:t xml:space="preserve">In 1997, </w:t>
      </w:r>
      <w:r w:rsidR="00A256E1">
        <w:rPr>
          <w:sz w:val="24"/>
          <w:szCs w:val="24"/>
        </w:rPr>
        <w:t xml:space="preserve">the UDF won a landslide victory allowing them to form their own government.  The reformist </w:t>
      </w:r>
      <w:r w:rsidR="007F5A49">
        <w:rPr>
          <w:sz w:val="24"/>
          <w:szCs w:val="24"/>
        </w:rPr>
        <w:t xml:space="preserve">Parliament passed </w:t>
      </w:r>
      <w:r>
        <w:rPr>
          <w:sz w:val="24"/>
          <w:szCs w:val="24"/>
        </w:rPr>
        <w:t xml:space="preserve">the </w:t>
      </w:r>
      <w:r w:rsidRPr="00AE1ACE">
        <w:rPr>
          <w:i/>
          <w:sz w:val="24"/>
          <w:szCs w:val="24"/>
        </w:rPr>
        <w:t>Law on Access to the State Security Documents</w:t>
      </w:r>
      <w:r w:rsidR="007F5A49">
        <w:rPr>
          <w:i/>
          <w:sz w:val="24"/>
          <w:szCs w:val="24"/>
        </w:rPr>
        <w:t xml:space="preserve"> </w:t>
      </w:r>
      <w:r>
        <w:rPr>
          <w:sz w:val="24"/>
          <w:szCs w:val="24"/>
        </w:rPr>
        <w:t>renewing a commitment to open the files and authorizing</w:t>
      </w:r>
      <w:r w:rsidR="0064274E" w:rsidRPr="00BE76E4">
        <w:rPr>
          <w:sz w:val="24"/>
          <w:szCs w:val="24"/>
        </w:rPr>
        <w:t xml:space="preserve"> the appointment of a series of </w:t>
      </w:r>
      <w:r w:rsidR="0064274E">
        <w:rPr>
          <w:sz w:val="24"/>
          <w:szCs w:val="24"/>
        </w:rPr>
        <w:t xml:space="preserve">dossier </w:t>
      </w:r>
      <w:r w:rsidR="0064274E" w:rsidRPr="00BE76E4">
        <w:rPr>
          <w:sz w:val="24"/>
          <w:szCs w:val="24"/>
        </w:rPr>
        <w:t>commissions/committees to review the background of officials in positions of power</w:t>
      </w:r>
      <w:r w:rsidR="0064274E">
        <w:rPr>
          <w:sz w:val="24"/>
          <w:szCs w:val="24"/>
        </w:rPr>
        <w:t xml:space="preserve"> for evidence of communist-era secret police employment or collaboration</w:t>
      </w:r>
      <w:r w:rsidR="00A256E1">
        <w:rPr>
          <w:sz w:val="24"/>
          <w:szCs w:val="24"/>
        </w:rPr>
        <w:t xml:space="preserve"> (European Network 2009)</w:t>
      </w:r>
      <w:r w:rsidR="0064274E">
        <w:rPr>
          <w:sz w:val="24"/>
          <w:szCs w:val="24"/>
        </w:rPr>
        <w:t xml:space="preserve">. </w:t>
      </w:r>
      <w:r w:rsidR="0064274E" w:rsidRPr="00BE76E4">
        <w:rPr>
          <w:sz w:val="24"/>
          <w:szCs w:val="24"/>
        </w:rPr>
        <w:t xml:space="preserve">The </w:t>
      </w:r>
      <w:r w:rsidR="0064274E">
        <w:rPr>
          <w:sz w:val="24"/>
          <w:szCs w:val="24"/>
        </w:rPr>
        <w:t xml:space="preserve">dossier </w:t>
      </w:r>
      <w:r w:rsidR="0064274E" w:rsidRPr="00BE76E4">
        <w:rPr>
          <w:sz w:val="24"/>
          <w:szCs w:val="24"/>
        </w:rPr>
        <w:t xml:space="preserve">commissions would have no employment penalty capabilities, </w:t>
      </w:r>
      <w:r w:rsidR="0064274E">
        <w:rPr>
          <w:sz w:val="24"/>
          <w:szCs w:val="24"/>
        </w:rPr>
        <w:t>but could</w:t>
      </w:r>
      <w:r w:rsidR="0064274E" w:rsidRPr="00BE76E4">
        <w:rPr>
          <w:sz w:val="24"/>
          <w:szCs w:val="24"/>
        </w:rPr>
        <w:t xml:space="preserve"> make </w:t>
      </w:r>
      <w:r w:rsidR="0064274E">
        <w:rPr>
          <w:sz w:val="24"/>
          <w:szCs w:val="24"/>
        </w:rPr>
        <w:t>their findings public</w:t>
      </w:r>
      <w:r w:rsidR="0064274E" w:rsidRPr="00BE76E4">
        <w:rPr>
          <w:sz w:val="24"/>
          <w:szCs w:val="24"/>
        </w:rPr>
        <w:t>.</w:t>
      </w:r>
      <w:r w:rsidR="0064274E">
        <w:rPr>
          <w:sz w:val="24"/>
          <w:szCs w:val="24"/>
        </w:rPr>
        <w:t xml:space="preserve">  </w:t>
      </w:r>
      <w:r w:rsidR="0064274E" w:rsidRPr="00BE76E4">
        <w:rPr>
          <w:sz w:val="24"/>
          <w:szCs w:val="24"/>
        </w:rPr>
        <w:t xml:space="preserve">The commissions included: the </w:t>
      </w:r>
      <w:proofErr w:type="spellStart"/>
      <w:r w:rsidR="0064274E" w:rsidRPr="00BE76E4">
        <w:rPr>
          <w:sz w:val="24"/>
          <w:szCs w:val="24"/>
        </w:rPr>
        <w:t>Bonev</w:t>
      </w:r>
      <w:proofErr w:type="spellEnd"/>
      <w:r w:rsidR="0064274E" w:rsidRPr="00BE76E4">
        <w:rPr>
          <w:sz w:val="24"/>
          <w:szCs w:val="24"/>
        </w:rPr>
        <w:t xml:space="preserve"> Committee (1997-1999), </w:t>
      </w:r>
      <w:r w:rsidR="0064274E">
        <w:rPr>
          <w:sz w:val="24"/>
          <w:szCs w:val="24"/>
        </w:rPr>
        <w:t xml:space="preserve">the </w:t>
      </w:r>
      <w:r w:rsidR="0064274E" w:rsidRPr="00BE76E4">
        <w:rPr>
          <w:sz w:val="24"/>
          <w:szCs w:val="24"/>
        </w:rPr>
        <w:t xml:space="preserve">Andreev Committee (2001-2002) and the </w:t>
      </w:r>
      <w:proofErr w:type="spellStart"/>
      <w:r w:rsidR="0064274E" w:rsidRPr="00BE76E4">
        <w:rPr>
          <w:sz w:val="24"/>
          <w:szCs w:val="24"/>
        </w:rPr>
        <w:t>Kostadinov</w:t>
      </w:r>
      <w:proofErr w:type="spellEnd"/>
      <w:r w:rsidR="0064274E" w:rsidRPr="00BE76E4">
        <w:rPr>
          <w:sz w:val="24"/>
          <w:szCs w:val="24"/>
        </w:rPr>
        <w:t xml:space="preserve"> Commission (2006-present).</w:t>
      </w:r>
      <w:r w:rsidR="0064274E" w:rsidRPr="00BE76E4">
        <w:rPr>
          <w:rStyle w:val="EndnoteReference"/>
          <w:sz w:val="24"/>
          <w:szCs w:val="24"/>
        </w:rPr>
        <w:endnoteReference w:id="9"/>
      </w:r>
      <w:r w:rsidR="0064274E" w:rsidRPr="00BE76E4">
        <w:rPr>
          <w:sz w:val="24"/>
          <w:szCs w:val="24"/>
        </w:rPr>
        <w:t xml:space="preserve">  </w:t>
      </w:r>
      <w:r w:rsidR="0064274E">
        <w:rPr>
          <w:sz w:val="24"/>
          <w:szCs w:val="24"/>
        </w:rPr>
        <w:t xml:space="preserve">Despite the potential for real accountability, even this truth revelatory function was minimally implemented. </w:t>
      </w:r>
      <w:r w:rsidR="0064274E" w:rsidRPr="00BE76E4">
        <w:rPr>
          <w:sz w:val="24"/>
          <w:szCs w:val="24"/>
        </w:rPr>
        <w:t xml:space="preserve">The </w:t>
      </w:r>
      <w:proofErr w:type="spellStart"/>
      <w:r w:rsidR="0064274E" w:rsidRPr="00BE76E4">
        <w:rPr>
          <w:sz w:val="24"/>
          <w:szCs w:val="24"/>
        </w:rPr>
        <w:t>Bonev</w:t>
      </w:r>
      <w:proofErr w:type="spellEnd"/>
      <w:r w:rsidR="0064274E" w:rsidRPr="00BE76E4">
        <w:rPr>
          <w:sz w:val="24"/>
          <w:szCs w:val="24"/>
        </w:rPr>
        <w:t xml:space="preserve"> Committee released a total of </w:t>
      </w:r>
      <w:r w:rsidR="0064274E">
        <w:rPr>
          <w:sz w:val="24"/>
          <w:szCs w:val="24"/>
        </w:rPr>
        <w:t xml:space="preserve">only </w:t>
      </w:r>
      <w:r w:rsidR="0064274E" w:rsidRPr="00BE76E4">
        <w:rPr>
          <w:sz w:val="24"/>
          <w:szCs w:val="24"/>
        </w:rPr>
        <w:t>twenty-three names over two years</w:t>
      </w:r>
      <w:r w:rsidR="00DB7088">
        <w:rPr>
          <w:sz w:val="24"/>
          <w:szCs w:val="24"/>
        </w:rPr>
        <w:t xml:space="preserve"> (</w:t>
      </w:r>
      <w:proofErr w:type="spellStart"/>
      <w:r w:rsidR="00DB7088">
        <w:rPr>
          <w:sz w:val="24"/>
          <w:szCs w:val="24"/>
        </w:rPr>
        <w:t>Metodiev</w:t>
      </w:r>
      <w:proofErr w:type="spellEnd"/>
      <w:r w:rsidR="00DB7088">
        <w:rPr>
          <w:sz w:val="24"/>
          <w:szCs w:val="24"/>
        </w:rPr>
        <w:t xml:space="preserve"> 2013</w:t>
      </w:r>
      <w:r w:rsidR="0064274E">
        <w:rPr>
          <w:sz w:val="24"/>
          <w:szCs w:val="24"/>
        </w:rPr>
        <w:t>, 78)</w:t>
      </w:r>
      <w:r w:rsidR="0064274E" w:rsidRPr="00BE76E4">
        <w:rPr>
          <w:sz w:val="24"/>
          <w:szCs w:val="24"/>
        </w:rPr>
        <w:t xml:space="preserve">. </w:t>
      </w:r>
      <w:r>
        <w:rPr>
          <w:sz w:val="24"/>
          <w:szCs w:val="24"/>
        </w:rPr>
        <w:t xml:space="preserve"> In February 2001, </w:t>
      </w:r>
      <w:r w:rsidR="0043080E">
        <w:rPr>
          <w:sz w:val="24"/>
          <w:szCs w:val="24"/>
        </w:rPr>
        <w:t xml:space="preserve">a UDF dominated parliament revised the law and created The Commission Determining Connections to the Former State Security. </w:t>
      </w:r>
      <w:r>
        <w:rPr>
          <w:sz w:val="24"/>
          <w:szCs w:val="24"/>
        </w:rPr>
        <w:t xml:space="preserve"> </w:t>
      </w:r>
      <w:r w:rsidR="0064274E" w:rsidRPr="00BE76E4">
        <w:rPr>
          <w:sz w:val="24"/>
          <w:szCs w:val="24"/>
        </w:rPr>
        <w:t xml:space="preserve">The Andreev Committee </w:t>
      </w:r>
      <w:r w:rsidR="0043080E">
        <w:rPr>
          <w:sz w:val="24"/>
          <w:szCs w:val="24"/>
        </w:rPr>
        <w:t xml:space="preserve">was chaired by </w:t>
      </w:r>
      <w:proofErr w:type="spellStart"/>
      <w:r w:rsidR="0043080E">
        <w:rPr>
          <w:sz w:val="24"/>
          <w:szCs w:val="24"/>
        </w:rPr>
        <w:t>Metodyy</w:t>
      </w:r>
      <w:proofErr w:type="spellEnd"/>
      <w:r w:rsidR="0043080E">
        <w:rPr>
          <w:sz w:val="24"/>
          <w:szCs w:val="24"/>
        </w:rPr>
        <w:t xml:space="preserve"> Andreev, a UDF legislator, with a reformist agenda. This Committee </w:t>
      </w:r>
      <w:r w:rsidR="0064274E" w:rsidRPr="00BE76E4">
        <w:rPr>
          <w:sz w:val="24"/>
          <w:szCs w:val="24"/>
        </w:rPr>
        <w:lastRenderedPageBreak/>
        <w:t>engaged in a larger verification program, investigating 7,000 individuals and verifying 517 as former collaborators, although only 208 names were publicly disclosed due to Constitutional Court limitations</w:t>
      </w:r>
      <w:r w:rsidR="00DB7088">
        <w:rPr>
          <w:sz w:val="24"/>
          <w:szCs w:val="24"/>
        </w:rPr>
        <w:t xml:space="preserve"> (</w:t>
      </w:r>
      <w:proofErr w:type="spellStart"/>
      <w:r w:rsidR="00DB7088">
        <w:rPr>
          <w:sz w:val="24"/>
          <w:szCs w:val="24"/>
        </w:rPr>
        <w:t>Metodiev</w:t>
      </w:r>
      <w:proofErr w:type="spellEnd"/>
      <w:r w:rsidR="00DB7088">
        <w:rPr>
          <w:sz w:val="24"/>
          <w:szCs w:val="24"/>
        </w:rPr>
        <w:t xml:space="preserve"> 2013</w:t>
      </w:r>
      <w:r w:rsidR="0064274E">
        <w:rPr>
          <w:sz w:val="24"/>
          <w:szCs w:val="24"/>
        </w:rPr>
        <w:t>, 78)</w:t>
      </w:r>
      <w:r w:rsidR="0064274E" w:rsidRPr="00BE76E4">
        <w:rPr>
          <w:sz w:val="24"/>
          <w:szCs w:val="24"/>
        </w:rPr>
        <w:t xml:space="preserve">. </w:t>
      </w:r>
      <w:r w:rsidR="00A256E1">
        <w:rPr>
          <w:sz w:val="24"/>
          <w:szCs w:val="24"/>
        </w:rPr>
        <w:t xml:space="preserve">During this period, there were significant parliamentary changes, with the UDF forces split, the rise of the National Movement Simeon II, and an eventual election victory for the Bulgarian Socialist Party in 2005. Although, the Socialists won, they needed to form a coalition government with several other parties, and the election even gave seats to right wing parties, thereby creating a relatively uncertain political landscape. </w:t>
      </w:r>
    </w:p>
    <w:p w:rsidR="0064274E" w:rsidRDefault="0064274E" w:rsidP="00777D46">
      <w:pPr>
        <w:spacing w:after="0" w:line="480" w:lineRule="auto"/>
        <w:jc w:val="both"/>
        <w:rPr>
          <w:sz w:val="24"/>
          <w:szCs w:val="24"/>
        </w:rPr>
      </w:pPr>
      <w:r>
        <w:rPr>
          <w:sz w:val="24"/>
          <w:szCs w:val="24"/>
        </w:rPr>
        <w:tab/>
      </w:r>
      <w:r w:rsidR="00A256E1">
        <w:rPr>
          <w:sz w:val="24"/>
          <w:szCs w:val="24"/>
        </w:rPr>
        <w:t xml:space="preserve">The Socialist Party </w:t>
      </w:r>
      <w:r w:rsidR="000D3E3B">
        <w:rPr>
          <w:sz w:val="24"/>
          <w:szCs w:val="24"/>
        </w:rPr>
        <w:t xml:space="preserve">coalition led government </w:t>
      </w:r>
      <w:r w:rsidR="00A256E1">
        <w:rPr>
          <w:sz w:val="24"/>
          <w:szCs w:val="24"/>
        </w:rPr>
        <w:t xml:space="preserve">passed </w:t>
      </w:r>
      <w:r w:rsidR="00A256E1">
        <w:rPr>
          <w:i/>
          <w:sz w:val="24"/>
          <w:szCs w:val="24"/>
        </w:rPr>
        <w:t xml:space="preserve">Law for Access and Disclosure of the Documents and Announcing Affiliation of Bulgarian Citizens to the State Security and Intelligence Services of the Bulgarian National Army </w:t>
      </w:r>
      <w:r w:rsidR="00A256E1">
        <w:rPr>
          <w:sz w:val="24"/>
          <w:szCs w:val="24"/>
        </w:rPr>
        <w:t>in 2006, and appointed a Socialist Party legislator—</w:t>
      </w:r>
      <w:proofErr w:type="spellStart"/>
      <w:r w:rsidR="00A256E1">
        <w:rPr>
          <w:sz w:val="24"/>
          <w:szCs w:val="24"/>
        </w:rPr>
        <w:t>Evtim</w:t>
      </w:r>
      <w:proofErr w:type="spellEnd"/>
      <w:r w:rsidR="00A256E1">
        <w:rPr>
          <w:sz w:val="24"/>
          <w:szCs w:val="24"/>
        </w:rPr>
        <w:t xml:space="preserve"> </w:t>
      </w:r>
      <w:proofErr w:type="spellStart"/>
      <w:r w:rsidR="00A256E1">
        <w:rPr>
          <w:sz w:val="24"/>
          <w:szCs w:val="24"/>
        </w:rPr>
        <w:t>Kostadinov</w:t>
      </w:r>
      <w:proofErr w:type="spellEnd"/>
      <w:r w:rsidR="00A256E1">
        <w:rPr>
          <w:sz w:val="24"/>
          <w:szCs w:val="24"/>
        </w:rPr>
        <w:t xml:space="preserve">—to head the </w:t>
      </w:r>
      <w:proofErr w:type="spellStart"/>
      <w:r w:rsidRPr="00BE76E4">
        <w:rPr>
          <w:sz w:val="24"/>
          <w:szCs w:val="24"/>
        </w:rPr>
        <w:t>Kostadinov</w:t>
      </w:r>
      <w:proofErr w:type="spellEnd"/>
      <w:r w:rsidRPr="00BE76E4">
        <w:rPr>
          <w:sz w:val="24"/>
          <w:szCs w:val="24"/>
        </w:rPr>
        <w:t xml:space="preserve"> Commission</w:t>
      </w:r>
      <w:r w:rsidR="000D3E3B">
        <w:rPr>
          <w:sz w:val="24"/>
          <w:szCs w:val="24"/>
        </w:rPr>
        <w:t xml:space="preserve"> (European Network 2009)</w:t>
      </w:r>
      <w:r w:rsidR="00A256E1">
        <w:rPr>
          <w:sz w:val="24"/>
          <w:szCs w:val="24"/>
        </w:rPr>
        <w:t xml:space="preserve">. </w:t>
      </w:r>
      <w:r>
        <w:rPr>
          <w:sz w:val="24"/>
          <w:szCs w:val="24"/>
        </w:rPr>
        <w:t xml:space="preserve">Between 2006-2012, the </w:t>
      </w:r>
      <w:proofErr w:type="spellStart"/>
      <w:r>
        <w:rPr>
          <w:sz w:val="24"/>
          <w:szCs w:val="24"/>
        </w:rPr>
        <w:t>Kostadinov</w:t>
      </w:r>
      <w:proofErr w:type="spellEnd"/>
      <w:r>
        <w:rPr>
          <w:sz w:val="24"/>
          <w:szCs w:val="24"/>
        </w:rPr>
        <w:t xml:space="preserve"> Commission reviewed </w:t>
      </w:r>
      <w:r w:rsidRPr="00BE76E4">
        <w:rPr>
          <w:sz w:val="24"/>
          <w:szCs w:val="24"/>
        </w:rPr>
        <w:t>over 100,000 files</w:t>
      </w:r>
      <w:r>
        <w:rPr>
          <w:sz w:val="24"/>
          <w:szCs w:val="24"/>
        </w:rPr>
        <w:t xml:space="preserve"> and actively and expansively publicized the information</w:t>
      </w:r>
      <w:r w:rsidRPr="00BE76E4">
        <w:rPr>
          <w:sz w:val="24"/>
          <w:szCs w:val="24"/>
        </w:rPr>
        <w:t>.</w:t>
      </w:r>
      <w:r w:rsidRPr="00BE76E4">
        <w:rPr>
          <w:rStyle w:val="EndnoteReference"/>
          <w:sz w:val="24"/>
          <w:szCs w:val="24"/>
        </w:rPr>
        <w:endnoteReference w:id="10"/>
      </w:r>
      <w:r w:rsidRPr="00BE76E4">
        <w:rPr>
          <w:sz w:val="24"/>
          <w:szCs w:val="24"/>
        </w:rPr>
        <w:t xml:space="preserve">  </w:t>
      </w:r>
      <w:r>
        <w:rPr>
          <w:sz w:val="24"/>
          <w:szCs w:val="24"/>
        </w:rPr>
        <w:t xml:space="preserve">At that time, </w:t>
      </w:r>
      <w:r w:rsidRPr="00BE76E4">
        <w:rPr>
          <w:sz w:val="24"/>
          <w:szCs w:val="24"/>
        </w:rPr>
        <w:t xml:space="preserve">Bulgaria </w:t>
      </w:r>
      <w:r>
        <w:rPr>
          <w:sz w:val="24"/>
          <w:szCs w:val="24"/>
        </w:rPr>
        <w:t>also constitutionally banned lustration arguing both that the laws were unconstitutional and that Bulgaria no longer needed lustration</w:t>
      </w:r>
      <w:r w:rsidRPr="00BE76E4">
        <w:rPr>
          <w:sz w:val="24"/>
          <w:szCs w:val="24"/>
        </w:rPr>
        <w:t xml:space="preserve">. </w:t>
      </w:r>
      <w:r>
        <w:rPr>
          <w:sz w:val="24"/>
          <w:szCs w:val="24"/>
        </w:rPr>
        <w:t xml:space="preserve"> Nonetheless, </w:t>
      </w:r>
      <w:r w:rsidRPr="00BE76E4">
        <w:rPr>
          <w:sz w:val="24"/>
          <w:szCs w:val="24"/>
        </w:rPr>
        <w:t xml:space="preserve">the </w:t>
      </w:r>
      <w:proofErr w:type="spellStart"/>
      <w:r w:rsidRPr="00BE76E4">
        <w:rPr>
          <w:sz w:val="24"/>
          <w:szCs w:val="24"/>
        </w:rPr>
        <w:t>Kostadinov</w:t>
      </w:r>
      <w:proofErr w:type="spellEnd"/>
      <w:r w:rsidRPr="00BE76E4">
        <w:rPr>
          <w:sz w:val="24"/>
          <w:szCs w:val="24"/>
        </w:rPr>
        <w:t xml:space="preserve"> Commission</w:t>
      </w:r>
      <w:r>
        <w:rPr>
          <w:sz w:val="24"/>
          <w:szCs w:val="24"/>
        </w:rPr>
        <w:t>’s use of public disclosures revitalized</w:t>
      </w:r>
      <w:r w:rsidRPr="00BE76E4">
        <w:rPr>
          <w:sz w:val="24"/>
          <w:szCs w:val="24"/>
        </w:rPr>
        <w:t xml:space="preserve"> the process</w:t>
      </w:r>
      <w:r>
        <w:rPr>
          <w:sz w:val="24"/>
          <w:szCs w:val="24"/>
        </w:rPr>
        <w:t xml:space="preserve"> of ‘silent’ or informal lustration</w:t>
      </w:r>
      <w:r w:rsidRPr="00BE76E4">
        <w:rPr>
          <w:sz w:val="24"/>
          <w:szCs w:val="24"/>
        </w:rPr>
        <w:t xml:space="preserve"> within an environment that officially banned lustration.</w:t>
      </w:r>
    </w:p>
    <w:p w:rsidR="0064274E" w:rsidRDefault="0064274E" w:rsidP="00B0640A">
      <w:pPr>
        <w:spacing w:after="0" w:line="480" w:lineRule="auto"/>
        <w:jc w:val="both"/>
        <w:rPr>
          <w:sz w:val="24"/>
          <w:szCs w:val="24"/>
        </w:rPr>
      </w:pPr>
      <w:r>
        <w:rPr>
          <w:sz w:val="24"/>
          <w:szCs w:val="24"/>
        </w:rPr>
        <w:tab/>
      </w:r>
      <w:r w:rsidRPr="00BE76E4">
        <w:rPr>
          <w:sz w:val="24"/>
          <w:szCs w:val="24"/>
        </w:rPr>
        <w:t xml:space="preserve">In structure the Dossier Commission </w:t>
      </w:r>
      <w:r>
        <w:rPr>
          <w:sz w:val="24"/>
          <w:szCs w:val="24"/>
        </w:rPr>
        <w:t xml:space="preserve">is a secret police file repository agency, </w:t>
      </w:r>
      <w:r w:rsidRPr="00BE76E4">
        <w:rPr>
          <w:sz w:val="24"/>
          <w:szCs w:val="24"/>
        </w:rPr>
        <w:t>appointed by the National Assembly for a period of five years.</w:t>
      </w:r>
      <w:r w:rsidRPr="00BE76E4">
        <w:rPr>
          <w:rStyle w:val="EndnoteReference"/>
          <w:sz w:val="24"/>
          <w:szCs w:val="24"/>
        </w:rPr>
        <w:endnoteReference w:id="11"/>
      </w:r>
      <w:r>
        <w:rPr>
          <w:sz w:val="24"/>
          <w:szCs w:val="24"/>
        </w:rPr>
        <w:t xml:space="preserve"> Under the previous laws, the Interior Ministry selectively transferred files to the commissions for review.  This created the perception that the Interior Ministry really controlled the scope of the investigations and could protect politically connected individuals from investigation. The new law formally transferred physical control over the files to the Commission, creating</w:t>
      </w:r>
      <w:r w:rsidRPr="00BE76E4">
        <w:rPr>
          <w:sz w:val="24"/>
          <w:szCs w:val="24"/>
        </w:rPr>
        <w:t xml:space="preserve"> a </w:t>
      </w:r>
      <w:r>
        <w:rPr>
          <w:sz w:val="24"/>
          <w:szCs w:val="24"/>
        </w:rPr>
        <w:t xml:space="preserve">newfound </w:t>
      </w:r>
      <w:r w:rsidRPr="00BE76E4">
        <w:rPr>
          <w:sz w:val="24"/>
          <w:szCs w:val="24"/>
        </w:rPr>
        <w:t>degree of institutional autonomy</w:t>
      </w:r>
      <w:r>
        <w:rPr>
          <w:sz w:val="24"/>
          <w:szCs w:val="24"/>
        </w:rPr>
        <w:t>.</w:t>
      </w:r>
      <w:r>
        <w:rPr>
          <w:rStyle w:val="EndnoteReference"/>
          <w:sz w:val="24"/>
          <w:szCs w:val="24"/>
        </w:rPr>
        <w:endnoteReference w:id="12"/>
      </w:r>
      <w:r>
        <w:rPr>
          <w:sz w:val="24"/>
          <w:szCs w:val="24"/>
        </w:rPr>
        <w:t xml:space="preserve">  </w:t>
      </w:r>
      <w:r w:rsidR="00474B74">
        <w:rPr>
          <w:sz w:val="24"/>
          <w:szCs w:val="24"/>
        </w:rPr>
        <w:tab/>
      </w:r>
      <w:r>
        <w:rPr>
          <w:sz w:val="24"/>
          <w:szCs w:val="24"/>
        </w:rPr>
        <w:t xml:space="preserve">The commitment of Commissioner </w:t>
      </w:r>
      <w:proofErr w:type="spellStart"/>
      <w:r>
        <w:rPr>
          <w:sz w:val="24"/>
          <w:szCs w:val="24"/>
        </w:rPr>
        <w:t>Kostadinov</w:t>
      </w:r>
      <w:proofErr w:type="spellEnd"/>
      <w:r>
        <w:rPr>
          <w:sz w:val="24"/>
          <w:szCs w:val="24"/>
        </w:rPr>
        <w:t>, former</w:t>
      </w:r>
      <w:r w:rsidR="00474B74">
        <w:rPr>
          <w:sz w:val="24"/>
          <w:szCs w:val="24"/>
        </w:rPr>
        <w:t>ly in the Interior Ministry and a</w:t>
      </w:r>
      <w:r w:rsidR="006710A4">
        <w:rPr>
          <w:sz w:val="24"/>
          <w:szCs w:val="24"/>
        </w:rPr>
        <w:t xml:space="preserve"> </w:t>
      </w:r>
      <w:r w:rsidR="006710A4">
        <w:rPr>
          <w:sz w:val="24"/>
          <w:szCs w:val="24"/>
        </w:rPr>
        <w:lastRenderedPageBreak/>
        <w:t>Socialist Party legislator</w:t>
      </w:r>
      <w:r>
        <w:rPr>
          <w:sz w:val="24"/>
          <w:szCs w:val="24"/>
        </w:rPr>
        <w:t xml:space="preserve">, to accountability, has significantly moved forward the Blue Party’s reform agenda, and created an opportunity for policy change. </w:t>
      </w:r>
      <w:r w:rsidR="00474B74">
        <w:rPr>
          <w:sz w:val="24"/>
          <w:szCs w:val="24"/>
        </w:rPr>
        <w:t>Bulgarian policymakers and academics suggested this Socialist led push for accountability would allow them to better manage the process and therefore consented to an expansive file access law with real implementation.</w:t>
      </w:r>
      <w:r w:rsidR="00474B74">
        <w:rPr>
          <w:rStyle w:val="EndnoteReference"/>
          <w:sz w:val="24"/>
          <w:szCs w:val="24"/>
        </w:rPr>
        <w:endnoteReference w:id="13"/>
      </w:r>
      <w:r w:rsidR="00474B74">
        <w:rPr>
          <w:sz w:val="24"/>
          <w:szCs w:val="24"/>
        </w:rPr>
        <w:t xml:space="preserve"> The first </w:t>
      </w:r>
      <w:proofErr w:type="spellStart"/>
      <w:r w:rsidR="0060285B">
        <w:rPr>
          <w:sz w:val="24"/>
          <w:szCs w:val="24"/>
        </w:rPr>
        <w:t>Kostadinov</w:t>
      </w:r>
      <w:proofErr w:type="spellEnd"/>
      <w:r w:rsidR="0060285B">
        <w:rPr>
          <w:sz w:val="24"/>
          <w:szCs w:val="24"/>
        </w:rPr>
        <w:t xml:space="preserve"> </w:t>
      </w:r>
      <w:r w:rsidR="00474B74">
        <w:rPr>
          <w:sz w:val="24"/>
          <w:szCs w:val="24"/>
        </w:rPr>
        <w:t>Commission included historians and teachers and the second Commission collaborates with academics and historians, thereby improving its credibility.</w:t>
      </w:r>
      <w:r w:rsidR="00474B74">
        <w:rPr>
          <w:rStyle w:val="EndnoteReference"/>
          <w:sz w:val="24"/>
          <w:szCs w:val="24"/>
        </w:rPr>
        <w:endnoteReference w:id="14"/>
      </w:r>
      <w:r w:rsidR="00474B74">
        <w:rPr>
          <w:sz w:val="24"/>
          <w:szCs w:val="24"/>
        </w:rPr>
        <w:t xml:space="preserve"> </w:t>
      </w:r>
      <w:r w:rsidR="00815E3B">
        <w:rPr>
          <w:sz w:val="24"/>
          <w:szCs w:val="24"/>
        </w:rPr>
        <w:t xml:space="preserve"> </w:t>
      </w:r>
      <w:r w:rsidR="0060285B">
        <w:rPr>
          <w:sz w:val="24"/>
          <w:szCs w:val="24"/>
        </w:rPr>
        <w:t xml:space="preserve">While the Commission is appointed by Parliament, no Parliamentary party can have a majority of appointed positions, thereby setting up institutional limitations on overt political control of the Commission as well. </w:t>
      </w:r>
      <w:r w:rsidR="00815E3B">
        <w:rPr>
          <w:sz w:val="24"/>
          <w:szCs w:val="24"/>
        </w:rPr>
        <w:t>In general, the Commission is not perceived as overtly politicized, unlike previous transitional justice efforts (</w:t>
      </w:r>
      <w:proofErr w:type="spellStart"/>
      <w:r w:rsidR="00815E3B">
        <w:rPr>
          <w:sz w:val="24"/>
          <w:szCs w:val="24"/>
        </w:rPr>
        <w:t>Metodiev</w:t>
      </w:r>
      <w:proofErr w:type="spellEnd"/>
      <w:r w:rsidR="00815E3B">
        <w:rPr>
          <w:sz w:val="24"/>
          <w:szCs w:val="24"/>
        </w:rPr>
        <w:t xml:space="preserve"> 2013).</w:t>
      </w:r>
      <w:r w:rsidR="00815E3B">
        <w:rPr>
          <w:rStyle w:val="EndnoteReference"/>
          <w:sz w:val="24"/>
          <w:szCs w:val="24"/>
        </w:rPr>
        <w:endnoteReference w:id="15"/>
      </w:r>
    </w:p>
    <w:p w:rsidR="0064274E" w:rsidRPr="00BE76E4" w:rsidRDefault="0064274E" w:rsidP="00B31D6B">
      <w:pPr>
        <w:spacing w:after="0" w:line="480" w:lineRule="auto"/>
        <w:rPr>
          <w:sz w:val="24"/>
          <w:szCs w:val="24"/>
        </w:rPr>
      </w:pPr>
      <w:r>
        <w:rPr>
          <w:sz w:val="24"/>
          <w:szCs w:val="24"/>
        </w:rPr>
        <w:tab/>
        <w:t xml:space="preserve">In practice, the </w:t>
      </w:r>
      <w:r w:rsidRPr="00BE76E4">
        <w:rPr>
          <w:sz w:val="24"/>
          <w:szCs w:val="24"/>
        </w:rPr>
        <w:t xml:space="preserve">Dossier Commission acts as </w:t>
      </w:r>
      <w:r>
        <w:rPr>
          <w:sz w:val="24"/>
          <w:szCs w:val="24"/>
        </w:rPr>
        <w:t>a</w:t>
      </w:r>
      <w:r w:rsidR="00CB54F6">
        <w:rPr>
          <w:sz w:val="24"/>
          <w:szCs w:val="24"/>
        </w:rPr>
        <w:t xml:space="preserve">n informal </w:t>
      </w:r>
      <w:r w:rsidRPr="00BE76E4">
        <w:rPr>
          <w:sz w:val="24"/>
          <w:szCs w:val="24"/>
        </w:rPr>
        <w:t>lustration agency, reviewing public office holders or those “carrying out or performing public service,” for evidence of collaboration with the State Security Services (</w:t>
      </w:r>
      <w:proofErr w:type="spellStart"/>
      <w:r w:rsidRPr="00BE76E4">
        <w:rPr>
          <w:i/>
          <w:sz w:val="24"/>
          <w:szCs w:val="24"/>
        </w:rPr>
        <w:t>Komitet</w:t>
      </w:r>
      <w:proofErr w:type="spellEnd"/>
      <w:r w:rsidRPr="00BE76E4">
        <w:rPr>
          <w:i/>
          <w:sz w:val="24"/>
          <w:szCs w:val="24"/>
        </w:rPr>
        <w:t xml:space="preserve"> </w:t>
      </w:r>
      <w:proofErr w:type="spellStart"/>
      <w:r w:rsidRPr="00BE76E4">
        <w:rPr>
          <w:i/>
          <w:sz w:val="24"/>
          <w:szCs w:val="24"/>
        </w:rPr>
        <w:t>Durzhavna</w:t>
      </w:r>
      <w:proofErr w:type="spellEnd"/>
      <w:r w:rsidRPr="00BE76E4">
        <w:rPr>
          <w:i/>
          <w:sz w:val="24"/>
          <w:szCs w:val="24"/>
        </w:rPr>
        <w:t xml:space="preserve"> </w:t>
      </w:r>
      <w:proofErr w:type="spellStart"/>
      <w:r w:rsidRPr="00BE76E4">
        <w:rPr>
          <w:i/>
          <w:sz w:val="24"/>
          <w:szCs w:val="24"/>
        </w:rPr>
        <w:t>Sigurnost</w:t>
      </w:r>
      <w:proofErr w:type="spellEnd"/>
      <w:r w:rsidRPr="00BE76E4">
        <w:rPr>
          <w:sz w:val="24"/>
          <w:szCs w:val="24"/>
        </w:rPr>
        <w:t xml:space="preserve">—KDS). It is responsible for </w:t>
      </w:r>
      <w:r w:rsidRPr="00BE76E4">
        <w:rPr>
          <w:rFonts w:eastAsia="Times New Roman"/>
          <w:sz w:val="24"/>
          <w:szCs w:val="24"/>
        </w:rPr>
        <w:t xml:space="preserve">“The announcement </w:t>
      </w:r>
      <w:r>
        <w:rPr>
          <w:rFonts w:eastAsia="Times New Roman"/>
          <w:sz w:val="24"/>
          <w:szCs w:val="24"/>
        </w:rPr>
        <w:t xml:space="preserve">[to the public] </w:t>
      </w:r>
      <w:r w:rsidRPr="00BE76E4">
        <w:rPr>
          <w:rFonts w:eastAsia="Times New Roman"/>
          <w:sz w:val="24"/>
          <w:szCs w:val="24"/>
        </w:rPr>
        <w:t>of the affiliation of Bulgarian citizens, public office holders or [those who] perform public activities to the authorities.”</w:t>
      </w:r>
      <w:r w:rsidRPr="00BE76E4">
        <w:rPr>
          <w:rStyle w:val="EndnoteReference"/>
          <w:sz w:val="24"/>
          <w:szCs w:val="24"/>
        </w:rPr>
        <w:t xml:space="preserve"> </w:t>
      </w:r>
      <w:r w:rsidRPr="00BE76E4">
        <w:rPr>
          <w:rStyle w:val="EndnoteReference"/>
          <w:sz w:val="24"/>
          <w:szCs w:val="24"/>
        </w:rPr>
        <w:endnoteReference w:id="16"/>
      </w:r>
      <w:r w:rsidRPr="00BE76E4">
        <w:rPr>
          <w:rFonts w:eastAsia="Times New Roman"/>
          <w:sz w:val="24"/>
          <w:szCs w:val="24"/>
        </w:rPr>
        <w:t xml:space="preserve">  </w:t>
      </w:r>
      <w:r>
        <w:rPr>
          <w:rFonts w:eastAsia="Times New Roman"/>
          <w:sz w:val="24"/>
          <w:szCs w:val="24"/>
        </w:rPr>
        <w:t>T</w:t>
      </w:r>
      <w:r w:rsidRPr="00BE76E4">
        <w:rPr>
          <w:rFonts w:eastAsia="Times New Roman"/>
          <w:sz w:val="24"/>
          <w:szCs w:val="24"/>
        </w:rPr>
        <w:t xml:space="preserve">his requires the </w:t>
      </w:r>
      <w:r w:rsidRPr="00BE76E4">
        <w:rPr>
          <w:sz w:val="24"/>
          <w:szCs w:val="24"/>
        </w:rPr>
        <w:t xml:space="preserve">verification </w:t>
      </w:r>
      <w:r>
        <w:rPr>
          <w:sz w:val="24"/>
          <w:szCs w:val="24"/>
        </w:rPr>
        <w:t xml:space="preserve">and publication </w:t>
      </w:r>
      <w:r w:rsidRPr="00BE76E4">
        <w:rPr>
          <w:sz w:val="24"/>
          <w:szCs w:val="24"/>
        </w:rPr>
        <w:t>of the background of all public officials who worked for the post-communist legislative, executive, and judiciary at the national level, the members of local government state agencies, leaders of intelligence services, and the opinion makers (owners, managers and journalists of all private and public media).</w:t>
      </w:r>
      <w:r w:rsidRPr="00BE76E4">
        <w:rPr>
          <w:rStyle w:val="EndnoteReference"/>
          <w:sz w:val="24"/>
          <w:szCs w:val="24"/>
        </w:rPr>
        <w:t xml:space="preserve"> </w:t>
      </w:r>
      <w:r w:rsidRPr="00BE76E4">
        <w:rPr>
          <w:sz w:val="24"/>
          <w:szCs w:val="24"/>
        </w:rPr>
        <w:t xml:space="preserve">The inclusion of a category of “opinion makers” resonates with a broad interpretation of the scope of positions for </w:t>
      </w:r>
      <w:r>
        <w:rPr>
          <w:sz w:val="24"/>
          <w:szCs w:val="24"/>
        </w:rPr>
        <w:t>vetting, like that seen in the Czech Republic and Poland</w:t>
      </w:r>
      <w:r w:rsidRPr="00BE76E4">
        <w:rPr>
          <w:sz w:val="24"/>
          <w:szCs w:val="24"/>
        </w:rPr>
        <w:t>.</w:t>
      </w:r>
    </w:p>
    <w:p w:rsidR="0064274E" w:rsidRPr="004E6D26" w:rsidRDefault="0064274E" w:rsidP="00B31D6B">
      <w:pPr>
        <w:spacing w:after="0" w:line="480" w:lineRule="auto"/>
        <w:rPr>
          <w:sz w:val="24"/>
          <w:szCs w:val="24"/>
        </w:rPr>
      </w:pPr>
      <w:r w:rsidRPr="00BE76E4">
        <w:rPr>
          <w:sz w:val="24"/>
          <w:szCs w:val="24"/>
        </w:rPr>
        <w:lastRenderedPageBreak/>
        <w:tab/>
      </w:r>
      <w:r w:rsidRPr="00BE76E4">
        <w:rPr>
          <w:rFonts w:cs="Times New Roman"/>
          <w:sz w:val="24"/>
          <w:szCs w:val="24"/>
        </w:rPr>
        <w:t xml:space="preserve">There is an explicit moral component to the perceived mandate of the </w:t>
      </w:r>
      <w:proofErr w:type="spellStart"/>
      <w:r w:rsidRPr="00BE76E4">
        <w:rPr>
          <w:rFonts w:cs="Times New Roman"/>
          <w:sz w:val="24"/>
          <w:szCs w:val="24"/>
        </w:rPr>
        <w:t>Kostadinov</w:t>
      </w:r>
      <w:proofErr w:type="spellEnd"/>
      <w:r w:rsidRPr="00BE76E4">
        <w:rPr>
          <w:rFonts w:cs="Times New Roman"/>
          <w:sz w:val="24"/>
          <w:szCs w:val="24"/>
        </w:rPr>
        <w:t xml:space="preserve"> Commission. </w:t>
      </w:r>
      <w:r w:rsidRPr="00BE76E4">
        <w:rPr>
          <w:sz w:val="24"/>
          <w:szCs w:val="24"/>
        </w:rPr>
        <w:t>Although there is no explicit institutional change component to the Commission’</w:t>
      </w:r>
      <w:r>
        <w:rPr>
          <w:sz w:val="24"/>
          <w:szCs w:val="24"/>
        </w:rPr>
        <w:t>s public disclosures</w:t>
      </w:r>
      <w:r w:rsidRPr="004E6D26">
        <w:rPr>
          <w:sz w:val="24"/>
          <w:szCs w:val="24"/>
        </w:rPr>
        <w:t>, there is a clear</w:t>
      </w:r>
      <w:r>
        <w:rPr>
          <w:sz w:val="24"/>
          <w:szCs w:val="24"/>
        </w:rPr>
        <w:t>,</w:t>
      </w:r>
      <w:r w:rsidRPr="004E6D26">
        <w:rPr>
          <w:sz w:val="24"/>
          <w:szCs w:val="24"/>
        </w:rPr>
        <w:t xml:space="preserve"> albeit informal</w:t>
      </w:r>
      <w:r>
        <w:rPr>
          <w:sz w:val="24"/>
          <w:szCs w:val="24"/>
        </w:rPr>
        <w:t>,</w:t>
      </w:r>
      <w:r w:rsidRPr="004E6D26">
        <w:rPr>
          <w:sz w:val="24"/>
          <w:szCs w:val="24"/>
        </w:rPr>
        <w:t xml:space="preserve"> change element. </w:t>
      </w:r>
    </w:p>
    <w:p w:rsidR="0064274E" w:rsidRPr="004E6D26" w:rsidRDefault="0064274E" w:rsidP="00B31D6B">
      <w:pPr>
        <w:spacing w:after="0" w:line="240" w:lineRule="auto"/>
        <w:ind w:left="720"/>
        <w:jc w:val="both"/>
        <w:rPr>
          <w:sz w:val="24"/>
          <w:szCs w:val="24"/>
        </w:rPr>
      </w:pPr>
      <w:r w:rsidRPr="004E6D26">
        <w:rPr>
          <w:sz w:val="24"/>
          <w:szCs w:val="24"/>
        </w:rPr>
        <w:t>It is not a lustration law by nature. Its application has a moral meaning. History</w:t>
      </w:r>
    </w:p>
    <w:p w:rsidR="0064274E" w:rsidRPr="004E6D26" w:rsidRDefault="0064274E" w:rsidP="00B31D6B">
      <w:pPr>
        <w:spacing w:after="0" w:line="240" w:lineRule="auto"/>
        <w:ind w:left="720"/>
        <w:jc w:val="both"/>
        <w:rPr>
          <w:sz w:val="24"/>
          <w:szCs w:val="24"/>
        </w:rPr>
      </w:pPr>
      <w:proofErr w:type="gramStart"/>
      <w:r w:rsidRPr="004E6D26">
        <w:rPr>
          <w:sz w:val="24"/>
          <w:szCs w:val="24"/>
        </w:rPr>
        <w:t>is</w:t>
      </w:r>
      <w:proofErr w:type="gramEnd"/>
      <w:r w:rsidRPr="004E6D26">
        <w:rPr>
          <w:sz w:val="24"/>
          <w:szCs w:val="24"/>
        </w:rPr>
        <w:t xml:space="preserve"> the best teacher for the future. But only when the society finds out the truth - be</w:t>
      </w:r>
    </w:p>
    <w:p w:rsidR="0064274E" w:rsidRPr="004E6D26" w:rsidRDefault="0064274E" w:rsidP="00B31D6B">
      <w:pPr>
        <w:spacing w:after="0" w:line="240" w:lineRule="auto"/>
        <w:ind w:left="720"/>
        <w:jc w:val="both"/>
        <w:rPr>
          <w:sz w:val="24"/>
          <w:szCs w:val="24"/>
        </w:rPr>
      </w:pPr>
      <w:proofErr w:type="gramStart"/>
      <w:r w:rsidRPr="004E6D26">
        <w:rPr>
          <w:sz w:val="24"/>
          <w:szCs w:val="24"/>
        </w:rPr>
        <w:t>it</w:t>
      </w:r>
      <w:proofErr w:type="gramEnd"/>
      <w:r w:rsidRPr="004E6D26">
        <w:rPr>
          <w:sz w:val="24"/>
          <w:szCs w:val="24"/>
        </w:rPr>
        <w:t xml:space="preserve"> pleasant or unpleasant. … Our task is to raise the curtain. Then the audience will be the</w:t>
      </w:r>
    </w:p>
    <w:p w:rsidR="0064274E" w:rsidRPr="004E6D26" w:rsidRDefault="0064274E" w:rsidP="00B31D6B">
      <w:pPr>
        <w:spacing w:after="0" w:line="240" w:lineRule="auto"/>
        <w:ind w:left="720"/>
        <w:jc w:val="both"/>
        <w:rPr>
          <w:sz w:val="24"/>
          <w:szCs w:val="24"/>
        </w:rPr>
      </w:pPr>
      <w:proofErr w:type="gramStart"/>
      <w:r w:rsidRPr="004E6D26">
        <w:rPr>
          <w:sz w:val="24"/>
          <w:szCs w:val="24"/>
        </w:rPr>
        <w:t>one</w:t>
      </w:r>
      <w:proofErr w:type="gramEnd"/>
      <w:r w:rsidRPr="004E6D26">
        <w:rPr>
          <w:sz w:val="24"/>
          <w:szCs w:val="24"/>
        </w:rPr>
        <w:t xml:space="preserve"> to choose whether to applaud or to hiss at the actors that were directed by the</w:t>
      </w:r>
    </w:p>
    <w:p w:rsidR="0064274E" w:rsidRPr="004E6D26" w:rsidRDefault="0064274E" w:rsidP="00B31D6B">
      <w:pPr>
        <w:spacing w:after="0" w:line="240" w:lineRule="auto"/>
        <w:ind w:left="720"/>
        <w:jc w:val="both"/>
        <w:rPr>
          <w:sz w:val="24"/>
          <w:szCs w:val="24"/>
        </w:rPr>
      </w:pPr>
      <w:proofErr w:type="gramStart"/>
      <w:r w:rsidRPr="004E6D26">
        <w:rPr>
          <w:sz w:val="24"/>
          <w:szCs w:val="24"/>
        </w:rPr>
        <w:t>former</w:t>
      </w:r>
      <w:proofErr w:type="gramEnd"/>
      <w:r w:rsidRPr="004E6D26">
        <w:rPr>
          <w:sz w:val="24"/>
          <w:szCs w:val="24"/>
        </w:rPr>
        <w:t xml:space="preserve"> secret services. Like every other show, this also has its good and bad</w:t>
      </w:r>
    </w:p>
    <w:p w:rsidR="0064274E" w:rsidRPr="004E6D26" w:rsidRDefault="0064274E" w:rsidP="00B31D6B">
      <w:pPr>
        <w:spacing w:after="0" w:line="240" w:lineRule="auto"/>
        <w:ind w:left="720"/>
        <w:jc w:val="both"/>
        <w:rPr>
          <w:sz w:val="24"/>
          <w:szCs w:val="24"/>
        </w:rPr>
      </w:pPr>
      <w:proofErr w:type="gramStart"/>
      <w:r w:rsidRPr="004E6D26">
        <w:rPr>
          <w:sz w:val="24"/>
          <w:szCs w:val="24"/>
        </w:rPr>
        <w:t>actors</w:t>
      </w:r>
      <w:proofErr w:type="gramEnd"/>
      <w:r w:rsidRPr="004E6D26">
        <w:rPr>
          <w:sz w:val="24"/>
          <w:szCs w:val="24"/>
        </w:rPr>
        <w:t>. Let us leave it for everyone to make his own choice. We believe that the</w:t>
      </w:r>
    </w:p>
    <w:p w:rsidR="0064274E" w:rsidRPr="004E6D26" w:rsidRDefault="0064274E" w:rsidP="00B31D6B">
      <w:pPr>
        <w:autoSpaceDE w:val="0"/>
        <w:autoSpaceDN w:val="0"/>
        <w:adjustRightInd w:val="0"/>
        <w:spacing w:after="0" w:line="240" w:lineRule="auto"/>
        <w:ind w:left="720"/>
        <w:jc w:val="both"/>
        <w:rPr>
          <w:sz w:val="24"/>
          <w:szCs w:val="24"/>
        </w:rPr>
      </w:pPr>
      <w:proofErr w:type="gramStart"/>
      <w:r w:rsidRPr="004E6D26">
        <w:rPr>
          <w:sz w:val="24"/>
          <w:szCs w:val="24"/>
        </w:rPr>
        <w:t>society</w:t>
      </w:r>
      <w:proofErr w:type="gramEnd"/>
      <w:r w:rsidRPr="004E6D26">
        <w:rPr>
          <w:sz w:val="24"/>
          <w:szCs w:val="24"/>
        </w:rPr>
        <w:t xml:space="preserve"> will be the best judge because it has the right to know all about itself.</w:t>
      </w:r>
      <w:r w:rsidRPr="004E6D26">
        <w:rPr>
          <w:rStyle w:val="EndnoteReference"/>
          <w:sz w:val="24"/>
          <w:szCs w:val="24"/>
        </w:rPr>
        <w:endnoteReference w:id="17"/>
      </w:r>
      <w:r w:rsidRPr="004E6D26">
        <w:rPr>
          <w:sz w:val="24"/>
          <w:szCs w:val="24"/>
        </w:rPr>
        <w:t xml:space="preserve"> </w:t>
      </w:r>
    </w:p>
    <w:p w:rsidR="0064274E" w:rsidRPr="004E6D26" w:rsidRDefault="0064274E" w:rsidP="00B31D6B">
      <w:pPr>
        <w:autoSpaceDE w:val="0"/>
        <w:autoSpaceDN w:val="0"/>
        <w:adjustRightInd w:val="0"/>
        <w:spacing w:after="0" w:line="240" w:lineRule="auto"/>
        <w:ind w:left="720"/>
        <w:jc w:val="both"/>
        <w:rPr>
          <w:sz w:val="24"/>
          <w:szCs w:val="24"/>
        </w:rPr>
      </w:pPr>
    </w:p>
    <w:p w:rsidR="0064274E" w:rsidRPr="00F97B7D" w:rsidRDefault="0064274E" w:rsidP="00B31D6B">
      <w:pPr>
        <w:spacing w:after="0" w:line="480" w:lineRule="auto"/>
        <w:rPr>
          <w:sz w:val="24"/>
          <w:szCs w:val="24"/>
        </w:rPr>
      </w:pPr>
      <w:r>
        <w:rPr>
          <w:sz w:val="24"/>
          <w:szCs w:val="24"/>
        </w:rPr>
        <w:tab/>
      </w:r>
      <w:r w:rsidRPr="00F97B7D">
        <w:rPr>
          <w:sz w:val="24"/>
          <w:szCs w:val="24"/>
        </w:rPr>
        <w:t xml:space="preserve">In sum, </w:t>
      </w:r>
      <w:r>
        <w:rPr>
          <w:sz w:val="24"/>
          <w:szCs w:val="24"/>
        </w:rPr>
        <w:t xml:space="preserve">both </w:t>
      </w:r>
      <w:r w:rsidRPr="00F97B7D">
        <w:rPr>
          <w:sz w:val="24"/>
          <w:szCs w:val="24"/>
        </w:rPr>
        <w:t xml:space="preserve">the structure and function of the </w:t>
      </w:r>
      <w:r>
        <w:rPr>
          <w:sz w:val="24"/>
          <w:szCs w:val="24"/>
        </w:rPr>
        <w:t xml:space="preserve">Dossier </w:t>
      </w:r>
      <w:r w:rsidRPr="00F97B7D">
        <w:rPr>
          <w:sz w:val="24"/>
          <w:szCs w:val="24"/>
        </w:rPr>
        <w:t xml:space="preserve">Commission </w:t>
      </w:r>
      <w:r>
        <w:rPr>
          <w:sz w:val="24"/>
          <w:szCs w:val="24"/>
        </w:rPr>
        <w:t>are similar to</w:t>
      </w:r>
      <w:r w:rsidRPr="00F97B7D">
        <w:rPr>
          <w:sz w:val="24"/>
          <w:szCs w:val="24"/>
        </w:rPr>
        <w:t xml:space="preserve"> that of lustration agencies in </w:t>
      </w:r>
      <w:r>
        <w:rPr>
          <w:sz w:val="24"/>
          <w:szCs w:val="24"/>
        </w:rPr>
        <w:t>other post-communist states. Moreover, the explicit truth telling revelations and implicit institutional change elements mirror the intended design and impact of other regional lustration programs.</w:t>
      </w:r>
    </w:p>
    <w:p w:rsidR="0064274E" w:rsidRPr="005901B4" w:rsidRDefault="0064274E" w:rsidP="007C392E">
      <w:pPr>
        <w:spacing w:after="0" w:line="480" w:lineRule="auto"/>
        <w:ind w:firstLine="720"/>
        <w:rPr>
          <w:rFonts w:eastAsia="Times New Roman"/>
          <w:b/>
          <w:i/>
          <w:sz w:val="24"/>
          <w:szCs w:val="24"/>
        </w:rPr>
      </w:pPr>
      <w:r w:rsidRPr="005901B4">
        <w:rPr>
          <w:b/>
          <w:i/>
          <w:sz w:val="24"/>
          <w:szCs w:val="24"/>
        </w:rPr>
        <w:t>Romania</w:t>
      </w:r>
      <w:r>
        <w:rPr>
          <w:b/>
          <w:i/>
          <w:sz w:val="24"/>
          <w:szCs w:val="24"/>
        </w:rPr>
        <w:t>: Situating the C.N.S.A.S. in Historical Context</w:t>
      </w:r>
    </w:p>
    <w:p w:rsidR="0064274E" w:rsidRDefault="0064274E" w:rsidP="005901B4">
      <w:pPr>
        <w:spacing w:after="0" w:line="480" w:lineRule="auto"/>
        <w:ind w:firstLine="720"/>
        <w:rPr>
          <w:rFonts w:eastAsia="Times New Roman"/>
          <w:color w:val="000000"/>
          <w:sz w:val="24"/>
          <w:szCs w:val="24"/>
        </w:rPr>
      </w:pPr>
      <w:r w:rsidRPr="00BE76E4">
        <w:rPr>
          <w:rFonts w:eastAsia="Times New Roman"/>
          <w:sz w:val="24"/>
          <w:szCs w:val="24"/>
        </w:rPr>
        <w:t>Romania’s attempts at transitional justice in general and lustration more specifically, were erratic and for the first fifteen years of the transition highly politicized. While Romania's Parliament passed several lustration laws, in genera</w:t>
      </w:r>
      <w:r>
        <w:rPr>
          <w:rFonts w:eastAsia="Times New Roman"/>
          <w:sz w:val="24"/>
          <w:szCs w:val="24"/>
        </w:rPr>
        <w:t xml:space="preserve">l the laws were </w:t>
      </w:r>
      <w:proofErr w:type="gramStart"/>
      <w:r>
        <w:rPr>
          <w:rFonts w:eastAsia="Times New Roman"/>
          <w:sz w:val="24"/>
          <w:szCs w:val="24"/>
        </w:rPr>
        <w:t>either not</w:t>
      </w:r>
      <w:proofErr w:type="gramEnd"/>
      <w:r>
        <w:rPr>
          <w:rFonts w:eastAsia="Times New Roman"/>
          <w:sz w:val="24"/>
          <w:szCs w:val="24"/>
        </w:rPr>
        <w:t xml:space="preserve"> implemented and/or</w:t>
      </w:r>
      <w:r w:rsidRPr="00BE76E4">
        <w:rPr>
          <w:rFonts w:eastAsia="Times New Roman"/>
          <w:sz w:val="24"/>
          <w:szCs w:val="24"/>
        </w:rPr>
        <w:t xml:space="preserve"> often </w:t>
      </w:r>
      <w:r>
        <w:rPr>
          <w:rFonts w:eastAsia="Times New Roman"/>
          <w:sz w:val="24"/>
          <w:szCs w:val="24"/>
        </w:rPr>
        <w:t>limited or overturned</w:t>
      </w:r>
      <w:r w:rsidRPr="00BE76E4">
        <w:rPr>
          <w:rFonts w:eastAsia="Times New Roman"/>
          <w:sz w:val="24"/>
          <w:szCs w:val="24"/>
        </w:rPr>
        <w:t xml:space="preserve"> by the Constitutional Court</w:t>
      </w:r>
      <w:r w:rsidRPr="00AC739C">
        <w:rPr>
          <w:rFonts w:eastAsia="Times New Roman"/>
          <w:sz w:val="24"/>
          <w:szCs w:val="24"/>
        </w:rPr>
        <w:t xml:space="preserve"> (</w:t>
      </w:r>
      <w:proofErr w:type="spellStart"/>
      <w:r w:rsidRPr="00AC739C">
        <w:rPr>
          <w:rFonts w:cs="Times New Roman"/>
          <w:sz w:val="24"/>
          <w:szCs w:val="24"/>
        </w:rPr>
        <w:t>Iancu</w:t>
      </w:r>
      <w:proofErr w:type="spellEnd"/>
      <w:r w:rsidRPr="00AC739C">
        <w:rPr>
          <w:rFonts w:cs="Times New Roman"/>
          <w:sz w:val="24"/>
          <w:szCs w:val="24"/>
        </w:rPr>
        <w:t xml:space="preserve"> 2010)</w:t>
      </w:r>
      <w:r w:rsidRPr="00AC739C">
        <w:rPr>
          <w:rFonts w:eastAsia="Times New Roman"/>
          <w:sz w:val="24"/>
          <w:szCs w:val="24"/>
        </w:rPr>
        <w:t>.</w:t>
      </w:r>
      <w:r>
        <w:rPr>
          <w:rStyle w:val="EndnoteReference"/>
          <w:rFonts w:eastAsia="Times New Roman"/>
          <w:sz w:val="24"/>
          <w:szCs w:val="24"/>
        </w:rPr>
        <w:endnoteReference w:id="18"/>
      </w:r>
      <w:r w:rsidRPr="00BE76E4">
        <w:rPr>
          <w:rFonts w:eastAsia="Times New Roman"/>
          <w:sz w:val="24"/>
          <w:szCs w:val="24"/>
        </w:rPr>
        <w:t xml:space="preserve"> </w:t>
      </w:r>
      <w:r w:rsidRPr="00BE76E4">
        <w:rPr>
          <w:rFonts w:eastAsia="Times New Roman"/>
          <w:color w:val="000000"/>
          <w:sz w:val="24"/>
          <w:szCs w:val="24"/>
        </w:rPr>
        <w:t>Stan notes that resistance to lustration has come from all political parties and cannot be simplistically blamed on the Social Democrats (nationalists and former Communist Party)</w:t>
      </w:r>
      <w:r>
        <w:rPr>
          <w:rFonts w:eastAsia="Times New Roman"/>
          <w:color w:val="000000"/>
          <w:sz w:val="24"/>
          <w:szCs w:val="24"/>
        </w:rPr>
        <w:t xml:space="preserve"> (Stan 2012, 92).   From 1990 to </w:t>
      </w:r>
      <w:r w:rsidRPr="00BE76E4">
        <w:rPr>
          <w:rFonts w:eastAsia="Times New Roman"/>
          <w:color w:val="000000"/>
          <w:sz w:val="24"/>
          <w:szCs w:val="24"/>
        </w:rPr>
        <w:t>1996 both the ruling government and the opposition effectively blocked any movement on lustration policies.</w:t>
      </w:r>
      <w:r>
        <w:rPr>
          <w:rFonts w:eastAsia="Times New Roman"/>
          <w:color w:val="000000"/>
          <w:sz w:val="24"/>
          <w:szCs w:val="24"/>
        </w:rPr>
        <w:t xml:space="preserve"> </w:t>
      </w:r>
      <w:r w:rsidR="00E122A3">
        <w:rPr>
          <w:rFonts w:eastAsia="Times New Roman"/>
          <w:color w:val="000000"/>
          <w:sz w:val="24"/>
          <w:szCs w:val="24"/>
        </w:rPr>
        <w:t xml:space="preserve">In addition, file </w:t>
      </w:r>
      <w:r>
        <w:rPr>
          <w:rFonts w:eastAsia="Times New Roman"/>
          <w:color w:val="000000"/>
          <w:sz w:val="24"/>
          <w:szCs w:val="24"/>
        </w:rPr>
        <w:t xml:space="preserve">access </w:t>
      </w:r>
      <w:r w:rsidR="00E122A3">
        <w:rPr>
          <w:rFonts w:eastAsia="Times New Roman"/>
          <w:color w:val="000000"/>
          <w:sz w:val="24"/>
          <w:szCs w:val="24"/>
        </w:rPr>
        <w:t xml:space="preserve">and veracity </w:t>
      </w:r>
      <w:r>
        <w:rPr>
          <w:rFonts w:eastAsia="Times New Roman"/>
          <w:color w:val="000000"/>
          <w:sz w:val="24"/>
          <w:szCs w:val="24"/>
        </w:rPr>
        <w:t xml:space="preserve">problems, thousands of missing files, and many top officials protected from lustration, all resulted in no real lustration in practice. </w:t>
      </w:r>
      <w:r w:rsidRPr="00BE76E4">
        <w:rPr>
          <w:rFonts w:eastAsia="Times New Roman"/>
          <w:color w:val="000000"/>
          <w:sz w:val="24"/>
          <w:szCs w:val="24"/>
        </w:rPr>
        <w:t xml:space="preserve">  </w:t>
      </w:r>
    </w:p>
    <w:p w:rsidR="006027F0" w:rsidRDefault="0064274E" w:rsidP="00B0640A">
      <w:pPr>
        <w:spacing w:after="0" w:line="480" w:lineRule="auto"/>
        <w:rPr>
          <w:rFonts w:eastAsia="Times New Roman" w:cs="Times New Roman"/>
          <w:color w:val="000000"/>
          <w:sz w:val="24"/>
          <w:szCs w:val="24"/>
        </w:rPr>
      </w:pPr>
      <w:r w:rsidRPr="006C262F">
        <w:rPr>
          <w:rFonts w:eastAsia="Times New Roman" w:cs="Times New Roman"/>
          <w:sz w:val="24"/>
          <w:szCs w:val="24"/>
        </w:rPr>
        <w:tab/>
      </w:r>
      <w:r>
        <w:rPr>
          <w:rFonts w:eastAsia="Times New Roman" w:cs="Times New Roman"/>
          <w:sz w:val="24"/>
          <w:szCs w:val="24"/>
        </w:rPr>
        <w:t>For example, i</w:t>
      </w:r>
      <w:r w:rsidRPr="006C262F">
        <w:rPr>
          <w:rFonts w:eastAsia="Times New Roman" w:cs="Times New Roman"/>
          <w:color w:val="000000"/>
          <w:sz w:val="24"/>
          <w:szCs w:val="24"/>
        </w:rPr>
        <w:t xml:space="preserve">n 1999, Law 187/1999 </w:t>
      </w:r>
      <w:r>
        <w:rPr>
          <w:rFonts w:eastAsia="Times New Roman" w:cs="Times New Roman"/>
          <w:color w:val="000000"/>
          <w:sz w:val="24"/>
          <w:szCs w:val="24"/>
        </w:rPr>
        <w:t xml:space="preserve"> </w:t>
      </w:r>
      <w:r w:rsidRPr="005E239A">
        <w:rPr>
          <w:rFonts w:eastAsia="Times New Roman" w:cs="Times New Roman"/>
          <w:i/>
          <w:color w:val="000000"/>
          <w:sz w:val="24"/>
          <w:szCs w:val="24"/>
        </w:rPr>
        <w:t>Regarding the Access to the Personal File and the Disclosure of the Securitate as Political Police</w:t>
      </w:r>
      <w:r w:rsidR="00D43D57">
        <w:rPr>
          <w:rFonts w:eastAsia="Times New Roman" w:cs="Times New Roman"/>
          <w:i/>
          <w:color w:val="000000"/>
          <w:sz w:val="24"/>
          <w:szCs w:val="24"/>
        </w:rPr>
        <w:t xml:space="preserve"> </w:t>
      </w:r>
      <w:r w:rsidRPr="006C262F">
        <w:rPr>
          <w:rFonts w:eastAsia="Times New Roman" w:cs="Times New Roman"/>
          <w:color w:val="000000"/>
          <w:sz w:val="24"/>
          <w:szCs w:val="24"/>
        </w:rPr>
        <w:t xml:space="preserve">was passed creating the National Council for the </w:t>
      </w:r>
      <w:r w:rsidRPr="006C262F">
        <w:rPr>
          <w:rFonts w:eastAsia="Times New Roman" w:cs="Times New Roman"/>
          <w:color w:val="000000"/>
          <w:sz w:val="24"/>
          <w:szCs w:val="24"/>
        </w:rPr>
        <w:lastRenderedPageBreak/>
        <w:t>Study of the Securitate Archives</w:t>
      </w:r>
      <w:r>
        <w:rPr>
          <w:rFonts w:eastAsia="Times New Roman" w:cs="Times New Roman"/>
          <w:color w:val="000000"/>
          <w:sz w:val="24"/>
          <w:szCs w:val="24"/>
        </w:rPr>
        <w:t>—C.N.S.A.S</w:t>
      </w:r>
      <w:r w:rsidR="00D43D57">
        <w:rPr>
          <w:rFonts w:eastAsia="Times New Roman" w:cs="Times New Roman"/>
          <w:color w:val="000000"/>
          <w:sz w:val="24"/>
          <w:szCs w:val="24"/>
        </w:rPr>
        <w:t xml:space="preserve"> after </w:t>
      </w:r>
      <w:r w:rsidR="006027F0">
        <w:rPr>
          <w:rFonts w:eastAsia="Times New Roman" w:cs="Times New Roman"/>
          <w:color w:val="000000"/>
          <w:sz w:val="24"/>
          <w:szCs w:val="24"/>
        </w:rPr>
        <w:t>six years of political wrangling</w:t>
      </w:r>
      <w:r>
        <w:rPr>
          <w:rFonts w:eastAsia="Times New Roman" w:cs="Times New Roman"/>
          <w:color w:val="000000"/>
          <w:sz w:val="24"/>
          <w:szCs w:val="24"/>
        </w:rPr>
        <w:t>.</w:t>
      </w:r>
      <w:r>
        <w:rPr>
          <w:rStyle w:val="EndnoteReference"/>
          <w:rFonts w:eastAsia="Times New Roman" w:cs="Times New Roman"/>
          <w:color w:val="000000"/>
          <w:sz w:val="24"/>
          <w:szCs w:val="24"/>
        </w:rPr>
        <w:endnoteReference w:id="19"/>
      </w:r>
      <w:r w:rsidRPr="006C262F">
        <w:rPr>
          <w:rFonts w:eastAsia="Times New Roman" w:cs="Times New Roman"/>
          <w:color w:val="000000"/>
          <w:sz w:val="24"/>
          <w:szCs w:val="24"/>
        </w:rPr>
        <w:t xml:space="preserve"> </w:t>
      </w:r>
      <w:r>
        <w:rPr>
          <w:rFonts w:eastAsia="Times New Roman" w:cs="Times New Roman"/>
          <w:color w:val="000000"/>
          <w:sz w:val="24"/>
          <w:szCs w:val="24"/>
        </w:rPr>
        <w:t xml:space="preserve"> </w:t>
      </w:r>
      <w:r w:rsidR="00D43D57">
        <w:rPr>
          <w:rFonts w:eastAsia="Times New Roman" w:cs="Times New Roman"/>
          <w:color w:val="000000"/>
          <w:sz w:val="24"/>
          <w:szCs w:val="24"/>
        </w:rPr>
        <w:t xml:space="preserve">An original version of the law was proposed in 1993 by </w:t>
      </w:r>
      <w:proofErr w:type="spellStart"/>
      <w:r w:rsidRPr="006C262F">
        <w:rPr>
          <w:rFonts w:eastAsia="Times New Roman" w:cs="Times New Roman"/>
          <w:color w:val="000000"/>
          <w:sz w:val="24"/>
          <w:szCs w:val="24"/>
        </w:rPr>
        <w:t>Ticu</w:t>
      </w:r>
      <w:proofErr w:type="spellEnd"/>
      <w:r w:rsidRPr="006C262F">
        <w:rPr>
          <w:rFonts w:eastAsia="Times New Roman" w:cs="Times New Roman"/>
          <w:color w:val="000000"/>
          <w:sz w:val="24"/>
          <w:szCs w:val="24"/>
        </w:rPr>
        <w:t xml:space="preserve"> </w:t>
      </w:r>
      <w:proofErr w:type="spellStart"/>
      <w:r w:rsidRPr="006C262F">
        <w:rPr>
          <w:rFonts w:eastAsia="Times New Roman" w:cs="Times New Roman"/>
          <w:color w:val="000000"/>
          <w:sz w:val="24"/>
          <w:szCs w:val="24"/>
        </w:rPr>
        <w:t>Dumitrescu</w:t>
      </w:r>
      <w:proofErr w:type="spellEnd"/>
      <w:r w:rsidRPr="006C262F">
        <w:rPr>
          <w:rFonts w:eastAsia="Times New Roman" w:cs="Times New Roman"/>
          <w:color w:val="000000"/>
          <w:sz w:val="24"/>
          <w:szCs w:val="24"/>
        </w:rPr>
        <w:t>,</w:t>
      </w:r>
      <w:r w:rsidR="00D43D57">
        <w:rPr>
          <w:rFonts w:eastAsia="Times New Roman" w:cs="Times New Roman"/>
          <w:color w:val="000000"/>
          <w:sz w:val="24"/>
          <w:szCs w:val="24"/>
        </w:rPr>
        <w:t xml:space="preserve"> the leader of the Association of Former Political Prisoners and an outspoken advocate for file access and transparency. The original 1993 proposal was rejected by the left-dominated parliament, but when </w:t>
      </w:r>
      <w:proofErr w:type="spellStart"/>
      <w:r w:rsidR="00D43D57">
        <w:rPr>
          <w:rFonts w:eastAsia="Times New Roman" w:cs="Times New Roman"/>
          <w:color w:val="000000"/>
          <w:sz w:val="24"/>
          <w:szCs w:val="24"/>
        </w:rPr>
        <w:t>Dumitrescu</w:t>
      </w:r>
      <w:proofErr w:type="spellEnd"/>
      <w:r w:rsidR="00D43D57">
        <w:rPr>
          <w:rFonts w:eastAsia="Times New Roman" w:cs="Times New Roman"/>
          <w:color w:val="000000"/>
          <w:sz w:val="24"/>
          <w:szCs w:val="24"/>
        </w:rPr>
        <w:t xml:space="preserve"> proposed it again in 1996, the center-right government was more amenable (</w:t>
      </w:r>
      <w:proofErr w:type="spellStart"/>
      <w:r w:rsidR="00D43D57">
        <w:rPr>
          <w:rFonts w:eastAsia="Times New Roman" w:cs="Times New Roman"/>
          <w:color w:val="000000"/>
          <w:sz w:val="24"/>
          <w:szCs w:val="24"/>
        </w:rPr>
        <w:t>Maxfield</w:t>
      </w:r>
      <w:proofErr w:type="spellEnd"/>
      <w:r w:rsidR="00D43D57">
        <w:rPr>
          <w:rFonts w:eastAsia="Times New Roman" w:cs="Times New Roman"/>
          <w:color w:val="000000"/>
          <w:sz w:val="24"/>
          <w:szCs w:val="24"/>
        </w:rPr>
        <w:t xml:space="preserve"> 2013).  In 1999 a significantly amended version of the law was finally passed, surviving attempts by </w:t>
      </w:r>
      <w:r w:rsidR="006027F0">
        <w:rPr>
          <w:rFonts w:eastAsia="Times New Roman" w:cs="Times New Roman"/>
          <w:color w:val="000000"/>
          <w:sz w:val="24"/>
          <w:szCs w:val="24"/>
        </w:rPr>
        <w:t xml:space="preserve">senior </w:t>
      </w:r>
      <w:r w:rsidR="00D43D57">
        <w:rPr>
          <w:rFonts w:eastAsia="Times New Roman" w:cs="Times New Roman"/>
          <w:color w:val="000000"/>
          <w:sz w:val="24"/>
          <w:szCs w:val="24"/>
        </w:rPr>
        <w:t xml:space="preserve">members of </w:t>
      </w:r>
      <w:proofErr w:type="spellStart"/>
      <w:r w:rsidR="00D43D57">
        <w:rPr>
          <w:rFonts w:eastAsia="Times New Roman" w:cs="Times New Roman"/>
          <w:color w:val="000000"/>
          <w:sz w:val="24"/>
          <w:szCs w:val="24"/>
        </w:rPr>
        <w:t>Dumitrescu’s</w:t>
      </w:r>
      <w:proofErr w:type="spellEnd"/>
      <w:r w:rsidR="00D43D57">
        <w:rPr>
          <w:rFonts w:eastAsia="Times New Roman" w:cs="Times New Roman"/>
          <w:color w:val="000000"/>
          <w:sz w:val="24"/>
          <w:szCs w:val="24"/>
        </w:rPr>
        <w:t xml:space="preserve"> own National Peasant Party to block the legislation</w:t>
      </w:r>
      <w:r w:rsidR="006027F0">
        <w:rPr>
          <w:rFonts w:eastAsia="Times New Roman" w:cs="Times New Roman"/>
          <w:color w:val="000000"/>
          <w:sz w:val="24"/>
          <w:szCs w:val="24"/>
        </w:rPr>
        <w:t>, catalyzing speculation that members of his party would have been revealed as Securitate collaborators</w:t>
      </w:r>
      <w:r w:rsidR="00D43D57">
        <w:rPr>
          <w:rFonts w:eastAsia="Times New Roman" w:cs="Times New Roman"/>
          <w:color w:val="000000"/>
          <w:sz w:val="24"/>
          <w:szCs w:val="24"/>
        </w:rPr>
        <w:t xml:space="preserve">.  </w:t>
      </w:r>
      <w:r w:rsidR="006027F0">
        <w:rPr>
          <w:rFonts w:eastAsia="Times New Roman" w:cs="Times New Roman"/>
          <w:color w:val="000000"/>
          <w:sz w:val="24"/>
          <w:szCs w:val="24"/>
        </w:rPr>
        <w:t>T</w:t>
      </w:r>
      <w:r w:rsidR="00D43D57" w:rsidRPr="006C262F">
        <w:rPr>
          <w:rFonts w:eastAsia="Times New Roman" w:cs="Times New Roman"/>
          <w:color w:val="000000"/>
          <w:sz w:val="24"/>
          <w:szCs w:val="24"/>
        </w:rPr>
        <w:t xml:space="preserve">he </w:t>
      </w:r>
      <w:r w:rsidR="006027F0">
        <w:rPr>
          <w:rFonts w:eastAsia="Times New Roman" w:cs="Times New Roman"/>
          <w:color w:val="000000"/>
          <w:sz w:val="24"/>
          <w:szCs w:val="24"/>
        </w:rPr>
        <w:t xml:space="preserve">resulting </w:t>
      </w:r>
      <w:r w:rsidR="00D43D57" w:rsidRPr="006C262F">
        <w:rPr>
          <w:rFonts w:eastAsia="Times New Roman" w:cs="Times New Roman"/>
          <w:color w:val="000000"/>
          <w:sz w:val="24"/>
          <w:szCs w:val="24"/>
        </w:rPr>
        <w:t xml:space="preserve">law kept classified the files of current secret service officers for an additional 30 years, thus perpetuating the secrecy of the </w:t>
      </w:r>
      <w:r w:rsidR="00D43D57" w:rsidRPr="006C262F">
        <w:rPr>
          <w:rFonts w:eastAsia="Times New Roman" w:cs="Times New Roman"/>
          <w:i/>
          <w:color w:val="000000"/>
          <w:sz w:val="24"/>
          <w:szCs w:val="24"/>
        </w:rPr>
        <w:t>Securitate</w:t>
      </w:r>
      <w:r w:rsidR="00D43D57" w:rsidRPr="006C262F">
        <w:rPr>
          <w:rFonts w:eastAsia="Times New Roman" w:cs="Times New Roman"/>
          <w:color w:val="000000"/>
          <w:sz w:val="24"/>
          <w:szCs w:val="24"/>
        </w:rPr>
        <w:t xml:space="preserve"> and its massive network.  </w:t>
      </w:r>
      <w:proofErr w:type="spellStart"/>
      <w:r w:rsidR="006027F0">
        <w:rPr>
          <w:rFonts w:eastAsia="Times New Roman" w:cs="Times New Roman"/>
          <w:color w:val="000000"/>
          <w:sz w:val="24"/>
          <w:szCs w:val="24"/>
        </w:rPr>
        <w:t>Dumitrescu</w:t>
      </w:r>
      <w:proofErr w:type="spellEnd"/>
      <w:r w:rsidRPr="006C262F">
        <w:rPr>
          <w:rFonts w:eastAsia="Times New Roman" w:cs="Times New Roman"/>
          <w:color w:val="000000"/>
          <w:sz w:val="24"/>
          <w:szCs w:val="24"/>
        </w:rPr>
        <w:t xml:space="preserve"> referred to this as “the law of covering up the </w:t>
      </w:r>
      <w:r w:rsidRPr="006C262F">
        <w:rPr>
          <w:rFonts w:eastAsia="Times New Roman" w:cs="Times New Roman"/>
          <w:i/>
          <w:color w:val="000000"/>
          <w:sz w:val="24"/>
          <w:szCs w:val="24"/>
        </w:rPr>
        <w:t>Securitate</w:t>
      </w:r>
      <w:r w:rsidRPr="006C262F">
        <w:rPr>
          <w:rFonts w:eastAsia="Times New Roman" w:cs="Times New Roman"/>
          <w:color w:val="000000"/>
          <w:sz w:val="24"/>
          <w:szCs w:val="24"/>
        </w:rPr>
        <w:t>”</w:t>
      </w:r>
      <w:r>
        <w:rPr>
          <w:rFonts w:eastAsia="Times New Roman" w:cs="Times New Roman"/>
          <w:color w:val="000000"/>
          <w:sz w:val="24"/>
          <w:szCs w:val="24"/>
        </w:rPr>
        <w:t xml:space="preserve"> because its mandate was so compromised by the continued secrecy surrounding the file</w:t>
      </w:r>
      <w:r w:rsidR="006027F0">
        <w:rPr>
          <w:rFonts w:eastAsia="Times New Roman" w:cs="Times New Roman"/>
          <w:color w:val="000000"/>
          <w:sz w:val="24"/>
          <w:szCs w:val="24"/>
        </w:rPr>
        <w:t>s and opposition from his own party</w:t>
      </w:r>
      <w:r>
        <w:rPr>
          <w:rFonts w:eastAsia="Times New Roman" w:cs="Times New Roman"/>
          <w:color w:val="000000"/>
          <w:sz w:val="24"/>
          <w:szCs w:val="24"/>
        </w:rPr>
        <w:t xml:space="preserve"> (Travers and </w:t>
      </w:r>
      <w:proofErr w:type="spellStart"/>
      <w:r>
        <w:rPr>
          <w:rFonts w:eastAsia="Times New Roman" w:cs="Times New Roman"/>
          <w:color w:val="000000"/>
          <w:sz w:val="24"/>
          <w:szCs w:val="24"/>
        </w:rPr>
        <w:t>Kanterian</w:t>
      </w:r>
      <w:proofErr w:type="spellEnd"/>
      <w:r>
        <w:rPr>
          <w:rFonts w:eastAsia="Times New Roman" w:cs="Times New Roman"/>
          <w:color w:val="000000"/>
          <w:sz w:val="24"/>
          <w:szCs w:val="24"/>
        </w:rPr>
        <w:t xml:space="preserve"> 2005).</w:t>
      </w:r>
      <w:r w:rsidRPr="006C262F">
        <w:rPr>
          <w:rFonts w:eastAsia="Times New Roman" w:cs="Times New Roman"/>
          <w:color w:val="000000"/>
          <w:sz w:val="24"/>
          <w:szCs w:val="24"/>
        </w:rPr>
        <w:t xml:space="preserve"> </w:t>
      </w:r>
      <w:r>
        <w:rPr>
          <w:rFonts w:eastAsia="Times New Roman" w:cs="Times New Roman"/>
          <w:color w:val="000000"/>
          <w:sz w:val="24"/>
          <w:szCs w:val="24"/>
        </w:rPr>
        <w:t xml:space="preserve"> </w:t>
      </w:r>
    </w:p>
    <w:p w:rsidR="006027F0" w:rsidRDefault="0064274E" w:rsidP="006027F0">
      <w:pPr>
        <w:spacing w:after="0" w:line="480" w:lineRule="auto"/>
        <w:rPr>
          <w:rFonts w:eastAsia="Times New Roman" w:cs="Times New Roman"/>
          <w:color w:val="000000"/>
          <w:sz w:val="24"/>
          <w:szCs w:val="24"/>
        </w:rPr>
      </w:pPr>
      <w:r>
        <w:rPr>
          <w:rFonts w:eastAsia="Times New Roman"/>
          <w:color w:val="000000"/>
          <w:sz w:val="24"/>
          <w:szCs w:val="24"/>
        </w:rPr>
        <w:tab/>
      </w:r>
      <w:r w:rsidR="006027F0">
        <w:rPr>
          <w:rFonts w:eastAsia="Times New Roman"/>
          <w:color w:val="000000"/>
          <w:sz w:val="24"/>
          <w:szCs w:val="24"/>
        </w:rPr>
        <w:t>T</w:t>
      </w:r>
      <w:r w:rsidR="006027F0" w:rsidRPr="00BE76E4">
        <w:rPr>
          <w:rFonts w:eastAsia="Times New Roman"/>
          <w:color w:val="000000"/>
          <w:sz w:val="24"/>
          <w:szCs w:val="24"/>
        </w:rPr>
        <w:t>he C.N.S.A.S. was designed to manage the files</w:t>
      </w:r>
      <w:r w:rsidR="006027F0">
        <w:rPr>
          <w:rFonts w:eastAsia="Times New Roman"/>
          <w:color w:val="000000"/>
          <w:sz w:val="24"/>
          <w:szCs w:val="24"/>
        </w:rPr>
        <w:t xml:space="preserve"> from the Romanian secret police or </w:t>
      </w:r>
      <w:r w:rsidR="006027F0">
        <w:rPr>
          <w:rFonts w:eastAsia="Times New Roman"/>
          <w:i/>
          <w:color w:val="000000"/>
          <w:sz w:val="24"/>
          <w:szCs w:val="24"/>
        </w:rPr>
        <w:t>Securitate</w:t>
      </w:r>
      <w:r w:rsidR="006027F0" w:rsidRPr="00BE76E4">
        <w:rPr>
          <w:rFonts w:eastAsia="Times New Roman"/>
          <w:color w:val="000000"/>
          <w:sz w:val="24"/>
          <w:szCs w:val="24"/>
        </w:rPr>
        <w:t xml:space="preserve">, provide file access, disclose the former agents and collaborators, as well as expose the repressive actions of the former communist system; </w:t>
      </w:r>
      <w:r w:rsidR="006027F0">
        <w:rPr>
          <w:rFonts w:eastAsia="Times New Roman"/>
          <w:color w:val="000000"/>
          <w:sz w:val="24"/>
          <w:szCs w:val="24"/>
        </w:rPr>
        <w:t xml:space="preserve">in essence, </w:t>
      </w:r>
      <w:r w:rsidR="006027F0" w:rsidRPr="00BE76E4">
        <w:rPr>
          <w:rFonts w:eastAsia="Times New Roman"/>
          <w:color w:val="000000"/>
          <w:sz w:val="24"/>
          <w:szCs w:val="24"/>
        </w:rPr>
        <w:t>it was designed to enable a lustration of the past.</w:t>
      </w:r>
      <w:r w:rsidR="006027F0" w:rsidRPr="00BE76E4">
        <w:rPr>
          <w:rStyle w:val="EndnoteReference"/>
          <w:color w:val="000000"/>
          <w:sz w:val="24"/>
          <w:szCs w:val="24"/>
        </w:rPr>
        <w:endnoteReference w:id="20"/>
      </w:r>
      <w:r w:rsidR="006027F0" w:rsidRPr="00BE76E4">
        <w:rPr>
          <w:rFonts w:eastAsia="Times New Roman"/>
          <w:color w:val="000000"/>
          <w:sz w:val="24"/>
          <w:szCs w:val="24"/>
        </w:rPr>
        <w:t xml:space="preserve"> </w:t>
      </w:r>
      <w:r w:rsidRPr="00BE76E4">
        <w:rPr>
          <w:rFonts w:eastAsia="Times New Roman"/>
          <w:color w:val="000000"/>
          <w:sz w:val="24"/>
          <w:szCs w:val="24"/>
        </w:rPr>
        <w:t>Officially</w:t>
      </w:r>
      <w:r>
        <w:rPr>
          <w:rFonts w:eastAsia="Times New Roman"/>
          <w:color w:val="000000"/>
          <w:sz w:val="24"/>
          <w:szCs w:val="24"/>
        </w:rPr>
        <w:t xml:space="preserve"> the</w:t>
      </w:r>
      <w:r w:rsidRPr="00BE76E4">
        <w:rPr>
          <w:rFonts w:eastAsia="Times New Roman"/>
          <w:color w:val="000000"/>
          <w:sz w:val="24"/>
          <w:szCs w:val="24"/>
        </w:rPr>
        <w:t xml:space="preserve"> </w:t>
      </w:r>
      <w:r>
        <w:rPr>
          <w:rFonts w:eastAsia="Times New Roman"/>
          <w:color w:val="000000"/>
          <w:sz w:val="24"/>
          <w:szCs w:val="24"/>
        </w:rPr>
        <w:t>C.N.S.A.S.’s</w:t>
      </w:r>
      <w:r w:rsidRPr="00BE76E4">
        <w:rPr>
          <w:rFonts w:eastAsia="Times New Roman"/>
          <w:color w:val="000000"/>
          <w:sz w:val="24"/>
          <w:szCs w:val="24"/>
        </w:rPr>
        <w:t xml:space="preserve"> mandate was to disclo</w:t>
      </w:r>
      <w:r w:rsidRPr="00BE76E4">
        <w:rPr>
          <w:color w:val="000000"/>
          <w:sz w:val="24"/>
          <w:szCs w:val="24"/>
        </w:rPr>
        <w:t>se previous collaboration</w:t>
      </w:r>
      <w:r>
        <w:rPr>
          <w:color w:val="000000"/>
          <w:sz w:val="24"/>
          <w:szCs w:val="24"/>
        </w:rPr>
        <w:t>--</w:t>
      </w:r>
      <w:r w:rsidRPr="00BE76E4">
        <w:rPr>
          <w:color w:val="000000"/>
          <w:sz w:val="24"/>
          <w:szCs w:val="24"/>
        </w:rPr>
        <w:t xml:space="preserve"> not </w:t>
      </w:r>
      <w:r w:rsidRPr="00BE76E4">
        <w:rPr>
          <w:rFonts w:eastAsia="Times New Roman"/>
          <w:color w:val="000000"/>
          <w:sz w:val="24"/>
          <w:szCs w:val="24"/>
        </w:rPr>
        <w:t>to prevent collaborators from taking public office</w:t>
      </w:r>
      <w:r>
        <w:rPr>
          <w:rFonts w:eastAsia="Times New Roman"/>
          <w:color w:val="000000"/>
          <w:sz w:val="24"/>
          <w:szCs w:val="24"/>
        </w:rPr>
        <w:t>--therefore it did not have a direct formal employment vetting component</w:t>
      </w:r>
      <w:r w:rsidRPr="00BE76E4">
        <w:rPr>
          <w:rFonts w:eastAsia="Times New Roman"/>
          <w:color w:val="000000"/>
          <w:sz w:val="24"/>
          <w:szCs w:val="24"/>
        </w:rPr>
        <w:t>.</w:t>
      </w:r>
      <w:r w:rsidRPr="006C262F">
        <w:rPr>
          <w:rFonts w:eastAsia="Times New Roman" w:cs="Times New Roman"/>
          <w:color w:val="000000"/>
          <w:sz w:val="24"/>
          <w:szCs w:val="24"/>
        </w:rPr>
        <w:t xml:space="preserve"> </w:t>
      </w:r>
      <w:r>
        <w:rPr>
          <w:rFonts w:eastAsia="Times New Roman" w:cs="Times New Roman"/>
          <w:color w:val="000000"/>
          <w:sz w:val="24"/>
          <w:szCs w:val="24"/>
        </w:rPr>
        <w:t xml:space="preserve"> However, the original design of the C.N.S.A.S. gave the agency authority to issue lustration verdicts to be used in employment vetting determinations.  To that end, the </w:t>
      </w:r>
      <w:r w:rsidRPr="006C262F">
        <w:rPr>
          <w:rFonts w:eastAsia="Times New Roman" w:cs="Times New Roman"/>
          <w:sz w:val="24"/>
          <w:szCs w:val="24"/>
        </w:rPr>
        <w:t xml:space="preserve">C.N.S.A.S. was </w:t>
      </w:r>
      <w:r>
        <w:rPr>
          <w:rFonts w:eastAsia="Times New Roman" w:cs="Times New Roman"/>
          <w:sz w:val="24"/>
          <w:szCs w:val="24"/>
        </w:rPr>
        <w:t xml:space="preserve">structurally </w:t>
      </w:r>
      <w:r w:rsidRPr="006C262F">
        <w:rPr>
          <w:rFonts w:eastAsia="Times New Roman" w:cs="Times New Roman"/>
          <w:sz w:val="24"/>
          <w:szCs w:val="24"/>
        </w:rPr>
        <w:t>hobbled from inception. There were</w:t>
      </w:r>
      <w:r w:rsidRPr="006C262F">
        <w:rPr>
          <w:rFonts w:cs="Times New Roman"/>
          <w:sz w:val="24"/>
          <w:szCs w:val="24"/>
        </w:rPr>
        <w:t xml:space="preserve"> substantial politically induced delays appointing council members, problems f</w:t>
      </w:r>
      <w:r w:rsidRPr="006C262F">
        <w:rPr>
          <w:rFonts w:cs="Times New Roman"/>
          <w:color w:val="000000"/>
          <w:sz w:val="24"/>
          <w:szCs w:val="24"/>
        </w:rPr>
        <w:t>unding the agency, and difficulty giving it a building in which to work</w:t>
      </w:r>
      <w:r>
        <w:rPr>
          <w:rFonts w:cs="Times New Roman"/>
          <w:color w:val="000000"/>
          <w:sz w:val="24"/>
          <w:szCs w:val="24"/>
        </w:rPr>
        <w:t xml:space="preserve"> (European Network 2009, 57-8).</w:t>
      </w:r>
      <w:r w:rsidRPr="006C262F">
        <w:rPr>
          <w:rFonts w:cs="Times New Roman"/>
          <w:color w:val="000000"/>
          <w:sz w:val="24"/>
          <w:szCs w:val="24"/>
        </w:rPr>
        <w:t xml:space="preserve"> </w:t>
      </w:r>
      <w:r>
        <w:rPr>
          <w:rFonts w:cs="Times New Roman"/>
          <w:color w:val="000000"/>
          <w:sz w:val="24"/>
          <w:szCs w:val="24"/>
        </w:rPr>
        <w:t xml:space="preserve"> Most </w:t>
      </w:r>
      <w:r>
        <w:rPr>
          <w:rFonts w:cs="Times New Roman"/>
          <w:color w:val="000000"/>
          <w:sz w:val="24"/>
          <w:szCs w:val="24"/>
        </w:rPr>
        <w:lastRenderedPageBreak/>
        <w:t xml:space="preserve">problematic, the </w:t>
      </w:r>
      <w:r>
        <w:rPr>
          <w:rFonts w:eastAsia="Times New Roman" w:cs="Times New Roman"/>
          <w:sz w:val="24"/>
          <w:szCs w:val="24"/>
        </w:rPr>
        <w:t>C.N.S.A.S.</w:t>
      </w:r>
      <w:r w:rsidRPr="006C262F">
        <w:rPr>
          <w:rFonts w:eastAsia="Times New Roman" w:cs="Times New Roman"/>
          <w:sz w:val="24"/>
          <w:szCs w:val="24"/>
        </w:rPr>
        <w:t xml:space="preserve"> lacked direct access to the secret police files</w:t>
      </w:r>
      <w:r w:rsidRPr="00BE76E4">
        <w:rPr>
          <w:rFonts w:eastAsia="Times New Roman"/>
          <w:color w:val="000000"/>
          <w:sz w:val="24"/>
          <w:szCs w:val="24"/>
        </w:rPr>
        <w:t>--they remained with the Romania</w:t>
      </w:r>
      <w:r>
        <w:rPr>
          <w:rFonts w:eastAsia="Times New Roman"/>
          <w:color w:val="000000"/>
          <w:sz w:val="24"/>
          <w:szCs w:val="24"/>
        </w:rPr>
        <w:t>n</w:t>
      </w:r>
      <w:r w:rsidRPr="00BE76E4">
        <w:rPr>
          <w:rFonts w:eastAsia="Times New Roman"/>
          <w:color w:val="000000"/>
          <w:sz w:val="24"/>
          <w:szCs w:val="24"/>
        </w:rPr>
        <w:t xml:space="preserve"> Information Service and the External Information Service until major file transfers in 2006—</w:t>
      </w:r>
      <w:r w:rsidRPr="006C262F">
        <w:rPr>
          <w:rFonts w:eastAsia="Times New Roman" w:cs="Times New Roman"/>
          <w:sz w:val="24"/>
          <w:szCs w:val="24"/>
        </w:rPr>
        <w:t xml:space="preserve"> and therefore was unable to fulfill either part of its mandate. </w:t>
      </w:r>
      <w:r w:rsidR="006027F0">
        <w:rPr>
          <w:sz w:val="24"/>
          <w:szCs w:val="24"/>
        </w:rPr>
        <w:t>Problems with file veracity and selective file destruction were endemic in Romania, as with most other post-communist lustration programs, and remain a problem for an accurate accounting of the past (Stan 2002, 56).</w:t>
      </w:r>
      <w:r w:rsidR="006027F0" w:rsidRPr="006112FE">
        <w:rPr>
          <w:rStyle w:val="EndnoteReference"/>
          <w:sz w:val="24"/>
          <w:szCs w:val="24"/>
        </w:rPr>
        <w:t xml:space="preserve"> </w:t>
      </w:r>
      <w:r w:rsidR="006027F0">
        <w:rPr>
          <w:rStyle w:val="EndnoteReference"/>
          <w:sz w:val="24"/>
          <w:szCs w:val="24"/>
        </w:rPr>
        <w:endnoteReference w:id="21"/>
      </w:r>
      <w:r w:rsidR="006027F0">
        <w:rPr>
          <w:sz w:val="24"/>
          <w:szCs w:val="24"/>
        </w:rPr>
        <w:t xml:space="preserve"> Additionally, p</w:t>
      </w:r>
      <w:r w:rsidR="006027F0" w:rsidRPr="00BE76E4">
        <w:rPr>
          <w:rFonts w:eastAsia="Calibri" w:cs="Times New Roman"/>
          <w:color w:val="000000"/>
          <w:sz w:val="24"/>
          <w:szCs w:val="24"/>
        </w:rPr>
        <w:t xml:space="preserve">roblems with the C.N.S.A.S.’s objective implementation of the laws, often </w:t>
      </w:r>
      <w:r w:rsidR="006027F0">
        <w:rPr>
          <w:rFonts w:eastAsia="Calibri" w:cs="Times New Roman"/>
          <w:color w:val="000000"/>
          <w:sz w:val="24"/>
          <w:szCs w:val="24"/>
        </w:rPr>
        <w:t>delivering</w:t>
      </w:r>
      <w:r w:rsidR="006027F0" w:rsidRPr="00BE76E4">
        <w:rPr>
          <w:rFonts w:eastAsia="Calibri" w:cs="Times New Roman"/>
          <w:color w:val="000000"/>
          <w:sz w:val="24"/>
          <w:szCs w:val="24"/>
        </w:rPr>
        <w:t xml:space="preserve"> clearly biased decisions</w:t>
      </w:r>
      <w:r w:rsidR="006027F0">
        <w:rPr>
          <w:rFonts w:eastAsia="Calibri" w:cs="Times New Roman"/>
          <w:color w:val="000000"/>
          <w:sz w:val="24"/>
          <w:szCs w:val="24"/>
        </w:rPr>
        <w:t xml:space="preserve"> or manipulating information, </w:t>
      </w:r>
      <w:r w:rsidR="006027F0">
        <w:rPr>
          <w:rFonts w:cs="Times New Roman"/>
          <w:color w:val="000000"/>
          <w:sz w:val="24"/>
          <w:szCs w:val="24"/>
        </w:rPr>
        <w:t>combined with</w:t>
      </w:r>
      <w:r w:rsidR="006027F0" w:rsidRPr="006C262F">
        <w:rPr>
          <w:rFonts w:cs="Times New Roman"/>
          <w:color w:val="000000"/>
          <w:sz w:val="24"/>
          <w:szCs w:val="24"/>
        </w:rPr>
        <w:t xml:space="preserve"> logistical problems </w:t>
      </w:r>
      <w:r w:rsidR="006027F0">
        <w:rPr>
          <w:rFonts w:cs="Times New Roman"/>
          <w:color w:val="000000"/>
          <w:sz w:val="24"/>
          <w:szCs w:val="24"/>
        </w:rPr>
        <w:t>obstructed authentic accountability (Stan 2012, 101)</w:t>
      </w:r>
      <w:r w:rsidR="006027F0" w:rsidRPr="006C262F">
        <w:rPr>
          <w:rFonts w:cs="Times New Roman"/>
          <w:color w:val="000000"/>
          <w:sz w:val="24"/>
          <w:szCs w:val="24"/>
        </w:rPr>
        <w:t>.</w:t>
      </w:r>
      <w:r w:rsidR="006027F0" w:rsidRPr="00BE76E4">
        <w:rPr>
          <w:rStyle w:val="EndnoteReference"/>
          <w:rFonts w:eastAsia="Calibri" w:cs="Times New Roman"/>
          <w:color w:val="000000"/>
          <w:sz w:val="24"/>
          <w:szCs w:val="24"/>
        </w:rPr>
        <w:endnoteReference w:id="22"/>
      </w:r>
      <w:r w:rsidR="006027F0" w:rsidRPr="006027F0">
        <w:rPr>
          <w:sz w:val="24"/>
          <w:szCs w:val="24"/>
        </w:rPr>
        <w:t xml:space="preserve"> </w:t>
      </w:r>
      <w:r w:rsidR="006027F0">
        <w:rPr>
          <w:sz w:val="24"/>
          <w:szCs w:val="24"/>
        </w:rPr>
        <w:tab/>
      </w:r>
    </w:p>
    <w:p w:rsidR="00AD4AFB" w:rsidRDefault="0064274E" w:rsidP="009E0AC9">
      <w:pPr>
        <w:spacing w:after="0" w:line="480" w:lineRule="auto"/>
        <w:rPr>
          <w:rFonts w:cs="Times New Roman"/>
          <w:color w:val="000000"/>
          <w:sz w:val="24"/>
          <w:szCs w:val="24"/>
        </w:rPr>
      </w:pPr>
      <w:r>
        <w:rPr>
          <w:rFonts w:cs="Times New Roman"/>
          <w:color w:val="000000"/>
          <w:sz w:val="24"/>
          <w:szCs w:val="24"/>
        </w:rPr>
        <w:tab/>
      </w:r>
      <w:r w:rsidRPr="006C262F">
        <w:rPr>
          <w:rFonts w:cs="Times New Roman"/>
          <w:color w:val="000000"/>
          <w:sz w:val="24"/>
          <w:szCs w:val="24"/>
        </w:rPr>
        <w:t xml:space="preserve">The landscape </w:t>
      </w:r>
      <w:r>
        <w:rPr>
          <w:rFonts w:cs="Times New Roman"/>
          <w:color w:val="000000"/>
          <w:sz w:val="24"/>
          <w:szCs w:val="24"/>
        </w:rPr>
        <w:t>started to shift i</w:t>
      </w:r>
      <w:r w:rsidRPr="006C262F">
        <w:rPr>
          <w:rFonts w:cs="Times New Roman"/>
          <w:color w:val="000000"/>
          <w:sz w:val="24"/>
          <w:szCs w:val="24"/>
        </w:rPr>
        <w:t>n 2006</w:t>
      </w:r>
      <w:r w:rsidR="004644BC">
        <w:rPr>
          <w:rFonts w:cs="Times New Roman"/>
          <w:color w:val="000000"/>
          <w:sz w:val="24"/>
          <w:szCs w:val="24"/>
        </w:rPr>
        <w:t xml:space="preserve"> with a series of domestic and international political changes</w:t>
      </w:r>
      <w:r w:rsidR="006027F0">
        <w:rPr>
          <w:rFonts w:cs="Times New Roman"/>
          <w:color w:val="000000"/>
          <w:sz w:val="24"/>
          <w:szCs w:val="24"/>
        </w:rPr>
        <w:t xml:space="preserve">. </w:t>
      </w:r>
      <w:r w:rsidR="004644BC">
        <w:rPr>
          <w:rFonts w:cs="Times New Roman"/>
          <w:color w:val="000000"/>
          <w:sz w:val="24"/>
          <w:szCs w:val="24"/>
        </w:rPr>
        <w:t xml:space="preserve"> In 2006, the National Liberal party pushed forward an expansive lustration law that passed in the Senate.</w:t>
      </w:r>
      <w:r w:rsidRPr="006C262F">
        <w:rPr>
          <w:rFonts w:cs="Times New Roman"/>
          <w:color w:val="000000"/>
          <w:sz w:val="24"/>
          <w:szCs w:val="24"/>
        </w:rPr>
        <w:t xml:space="preserve"> </w:t>
      </w:r>
      <w:r w:rsidR="006027F0">
        <w:rPr>
          <w:rFonts w:cs="Times New Roman"/>
          <w:color w:val="000000"/>
          <w:sz w:val="24"/>
          <w:szCs w:val="24"/>
        </w:rPr>
        <w:t xml:space="preserve">The </w:t>
      </w:r>
      <w:proofErr w:type="spellStart"/>
      <w:r w:rsidR="006027F0" w:rsidRPr="006027F0">
        <w:rPr>
          <w:rFonts w:cs="Times New Roman"/>
          <w:color w:val="000000"/>
          <w:sz w:val="24"/>
          <w:szCs w:val="24"/>
        </w:rPr>
        <w:t>Tismăneanu</w:t>
      </w:r>
      <w:proofErr w:type="spellEnd"/>
      <w:r w:rsidR="006027F0" w:rsidRPr="006027F0">
        <w:rPr>
          <w:rFonts w:cs="Times New Roman"/>
          <w:color w:val="000000"/>
          <w:sz w:val="24"/>
          <w:szCs w:val="24"/>
        </w:rPr>
        <w:t xml:space="preserve"> Report</w:t>
      </w:r>
      <w:r w:rsidR="006027F0">
        <w:rPr>
          <w:rFonts w:cs="Times New Roman"/>
          <w:color w:val="000000"/>
          <w:sz w:val="24"/>
          <w:szCs w:val="24"/>
        </w:rPr>
        <w:t xml:space="preserve"> was </w:t>
      </w:r>
      <w:r w:rsidR="004644BC">
        <w:rPr>
          <w:rFonts w:cs="Times New Roman"/>
          <w:color w:val="000000"/>
          <w:sz w:val="24"/>
          <w:szCs w:val="24"/>
        </w:rPr>
        <w:t xml:space="preserve">prepared in 2006 and </w:t>
      </w:r>
      <w:r w:rsidR="006027F0">
        <w:rPr>
          <w:rFonts w:cs="Times New Roman"/>
          <w:color w:val="000000"/>
          <w:sz w:val="24"/>
          <w:szCs w:val="24"/>
        </w:rPr>
        <w:t>published in December, formally documenting and condemning aspects of the Communist Dictatorship</w:t>
      </w:r>
      <w:r w:rsidR="003E0673">
        <w:rPr>
          <w:rFonts w:cs="Times New Roman"/>
          <w:color w:val="000000"/>
          <w:sz w:val="24"/>
          <w:szCs w:val="24"/>
        </w:rPr>
        <w:t>.</w:t>
      </w:r>
      <w:r w:rsidR="006027F0">
        <w:rPr>
          <w:rFonts w:cs="Times New Roman"/>
          <w:color w:val="000000"/>
          <w:sz w:val="24"/>
          <w:szCs w:val="24"/>
        </w:rPr>
        <w:t xml:space="preserve">  </w:t>
      </w:r>
      <w:r w:rsidR="003E0673">
        <w:rPr>
          <w:rFonts w:cs="Times New Roman"/>
          <w:color w:val="000000"/>
          <w:sz w:val="24"/>
          <w:szCs w:val="24"/>
        </w:rPr>
        <w:t xml:space="preserve">The timing was designed to allow </w:t>
      </w:r>
      <w:r w:rsidR="006027F0">
        <w:rPr>
          <w:rFonts w:cs="Times New Roman"/>
          <w:color w:val="000000"/>
          <w:sz w:val="24"/>
          <w:szCs w:val="24"/>
        </w:rPr>
        <w:t>P</w:t>
      </w:r>
      <w:r>
        <w:rPr>
          <w:rFonts w:cs="Times New Roman"/>
          <w:color w:val="000000"/>
          <w:sz w:val="24"/>
          <w:szCs w:val="24"/>
        </w:rPr>
        <w:t xml:space="preserve">resident </w:t>
      </w:r>
      <w:proofErr w:type="spellStart"/>
      <w:r w:rsidR="003E0673">
        <w:rPr>
          <w:rFonts w:cs="Times New Roman"/>
          <w:color w:val="000000"/>
          <w:sz w:val="24"/>
          <w:szCs w:val="24"/>
        </w:rPr>
        <w:t>Traian</w:t>
      </w:r>
      <w:proofErr w:type="spellEnd"/>
      <w:r w:rsidR="003E0673">
        <w:rPr>
          <w:rFonts w:cs="Times New Roman"/>
          <w:color w:val="000000"/>
          <w:sz w:val="24"/>
          <w:szCs w:val="24"/>
        </w:rPr>
        <w:t xml:space="preserve"> </w:t>
      </w:r>
      <w:proofErr w:type="spellStart"/>
      <w:r>
        <w:rPr>
          <w:rFonts w:cs="Times New Roman"/>
          <w:color w:val="000000"/>
          <w:sz w:val="24"/>
          <w:szCs w:val="24"/>
        </w:rPr>
        <w:t>Basescu</w:t>
      </w:r>
      <w:proofErr w:type="spellEnd"/>
      <w:r>
        <w:rPr>
          <w:rFonts w:cs="Times New Roman"/>
          <w:color w:val="000000"/>
          <w:sz w:val="24"/>
          <w:szCs w:val="24"/>
        </w:rPr>
        <w:t xml:space="preserve"> </w:t>
      </w:r>
      <w:r w:rsidR="003E0673">
        <w:rPr>
          <w:rFonts w:cs="Times New Roman"/>
          <w:color w:val="000000"/>
          <w:sz w:val="24"/>
          <w:szCs w:val="24"/>
        </w:rPr>
        <w:t xml:space="preserve">to receive the </w:t>
      </w:r>
      <w:proofErr w:type="spellStart"/>
      <w:r w:rsidR="003E0673" w:rsidRPr="006027F0">
        <w:rPr>
          <w:rFonts w:cs="Times New Roman"/>
          <w:color w:val="000000"/>
          <w:sz w:val="24"/>
          <w:szCs w:val="24"/>
        </w:rPr>
        <w:t>Tismăneanu</w:t>
      </w:r>
      <w:proofErr w:type="spellEnd"/>
      <w:r w:rsidR="003E0673" w:rsidRPr="006027F0">
        <w:rPr>
          <w:rFonts w:cs="Times New Roman"/>
          <w:color w:val="000000"/>
          <w:sz w:val="24"/>
          <w:szCs w:val="24"/>
        </w:rPr>
        <w:t xml:space="preserve"> Report</w:t>
      </w:r>
      <w:r w:rsidR="003E0673">
        <w:rPr>
          <w:rFonts w:cs="Times New Roman"/>
          <w:color w:val="000000"/>
          <w:sz w:val="24"/>
          <w:szCs w:val="24"/>
        </w:rPr>
        <w:t xml:space="preserve"> and formally condemn</w:t>
      </w:r>
      <w:r>
        <w:rPr>
          <w:rFonts w:cs="Times New Roman"/>
          <w:color w:val="000000"/>
          <w:sz w:val="24"/>
          <w:szCs w:val="24"/>
        </w:rPr>
        <w:t xml:space="preserve"> the communist regime in 2007</w:t>
      </w:r>
      <w:r w:rsidR="003E0673">
        <w:rPr>
          <w:rFonts w:cs="Times New Roman"/>
          <w:color w:val="000000"/>
          <w:sz w:val="24"/>
          <w:szCs w:val="24"/>
        </w:rPr>
        <w:t xml:space="preserve"> while</w:t>
      </w:r>
      <w:r w:rsidR="004644BC">
        <w:rPr>
          <w:rFonts w:cs="Times New Roman"/>
          <w:color w:val="000000"/>
          <w:sz w:val="24"/>
          <w:szCs w:val="24"/>
        </w:rPr>
        <w:t xml:space="preserve"> embrac</w:t>
      </w:r>
      <w:r w:rsidR="003E0673">
        <w:rPr>
          <w:rFonts w:cs="Times New Roman"/>
          <w:color w:val="000000"/>
          <w:sz w:val="24"/>
          <w:szCs w:val="24"/>
        </w:rPr>
        <w:t>ing</w:t>
      </w:r>
      <w:r w:rsidR="004644BC">
        <w:rPr>
          <w:rFonts w:cs="Times New Roman"/>
          <w:color w:val="000000"/>
          <w:sz w:val="24"/>
          <w:szCs w:val="24"/>
        </w:rPr>
        <w:t xml:space="preserve"> EU membership</w:t>
      </w:r>
      <w:r w:rsidR="003E0673">
        <w:rPr>
          <w:rFonts w:cs="Times New Roman"/>
          <w:color w:val="000000"/>
          <w:sz w:val="24"/>
          <w:szCs w:val="24"/>
        </w:rPr>
        <w:t xml:space="preserve"> (</w:t>
      </w:r>
      <w:proofErr w:type="spellStart"/>
      <w:r w:rsidR="003E0673">
        <w:rPr>
          <w:rFonts w:cs="Times New Roman"/>
          <w:color w:val="000000"/>
          <w:sz w:val="24"/>
          <w:szCs w:val="24"/>
        </w:rPr>
        <w:t>Maxfield</w:t>
      </w:r>
      <w:proofErr w:type="spellEnd"/>
      <w:r w:rsidR="003E0673">
        <w:rPr>
          <w:rFonts w:cs="Times New Roman"/>
          <w:color w:val="000000"/>
          <w:sz w:val="24"/>
          <w:szCs w:val="24"/>
        </w:rPr>
        <w:t xml:space="preserve"> 2013).  He</w:t>
      </w:r>
      <w:r w:rsidR="004644BC">
        <w:rPr>
          <w:rFonts w:cs="Times New Roman"/>
          <w:color w:val="000000"/>
          <w:sz w:val="24"/>
          <w:szCs w:val="24"/>
        </w:rPr>
        <w:t xml:space="preserve"> supported </w:t>
      </w:r>
      <w:r w:rsidR="003E0673">
        <w:rPr>
          <w:rFonts w:cs="Times New Roman"/>
          <w:color w:val="000000"/>
          <w:sz w:val="24"/>
          <w:szCs w:val="24"/>
        </w:rPr>
        <w:t xml:space="preserve">his accountability and transparency push by supporting </w:t>
      </w:r>
      <w:r w:rsidR="004644BC">
        <w:rPr>
          <w:rFonts w:cs="Times New Roman"/>
          <w:color w:val="000000"/>
          <w:sz w:val="24"/>
          <w:szCs w:val="24"/>
        </w:rPr>
        <w:t xml:space="preserve">the lustration initiative with a forced transfer of 60,000 </w:t>
      </w:r>
      <w:r w:rsidR="004644BC" w:rsidRPr="006C262F">
        <w:rPr>
          <w:rFonts w:cs="Times New Roman"/>
          <w:color w:val="000000"/>
          <w:sz w:val="24"/>
          <w:szCs w:val="24"/>
        </w:rPr>
        <w:t>file</w:t>
      </w:r>
      <w:r w:rsidR="004644BC">
        <w:rPr>
          <w:rFonts w:cs="Times New Roman"/>
          <w:color w:val="000000"/>
          <w:sz w:val="24"/>
          <w:szCs w:val="24"/>
        </w:rPr>
        <w:t>s</w:t>
      </w:r>
      <w:r w:rsidR="004644BC" w:rsidRPr="006C262F">
        <w:rPr>
          <w:rFonts w:cs="Times New Roman"/>
          <w:color w:val="000000"/>
          <w:sz w:val="24"/>
          <w:szCs w:val="24"/>
        </w:rPr>
        <w:t xml:space="preserve"> to</w:t>
      </w:r>
      <w:r w:rsidR="004644BC">
        <w:rPr>
          <w:rFonts w:cs="Times New Roman"/>
          <w:color w:val="000000"/>
          <w:sz w:val="24"/>
          <w:szCs w:val="24"/>
        </w:rPr>
        <w:t xml:space="preserve"> the</w:t>
      </w:r>
      <w:r w:rsidR="004644BC" w:rsidRPr="006C262F">
        <w:rPr>
          <w:rFonts w:cs="Times New Roman"/>
          <w:color w:val="000000"/>
          <w:sz w:val="24"/>
          <w:szCs w:val="24"/>
        </w:rPr>
        <w:t xml:space="preserve"> C.N.S.A.S</w:t>
      </w:r>
      <w:r w:rsidR="004644BC">
        <w:rPr>
          <w:rFonts w:cs="Times New Roman"/>
          <w:color w:val="000000"/>
          <w:sz w:val="24"/>
          <w:szCs w:val="24"/>
        </w:rPr>
        <w:t xml:space="preserve"> (</w:t>
      </w:r>
      <w:proofErr w:type="spellStart"/>
      <w:r w:rsidR="004644BC">
        <w:rPr>
          <w:rFonts w:cs="Times New Roman"/>
          <w:color w:val="000000"/>
          <w:sz w:val="24"/>
          <w:szCs w:val="24"/>
        </w:rPr>
        <w:t>Corlatan</w:t>
      </w:r>
      <w:proofErr w:type="spellEnd"/>
      <w:r w:rsidR="004644BC">
        <w:rPr>
          <w:rFonts w:cs="Times New Roman"/>
          <w:color w:val="000000"/>
          <w:sz w:val="24"/>
          <w:szCs w:val="24"/>
        </w:rPr>
        <w:t xml:space="preserve"> 2007).</w:t>
      </w:r>
      <w:r w:rsidR="004644BC" w:rsidRPr="006C262F">
        <w:rPr>
          <w:rStyle w:val="EndnoteReference"/>
          <w:rFonts w:cs="Times New Roman"/>
          <w:color w:val="000000"/>
          <w:sz w:val="24"/>
          <w:szCs w:val="24"/>
        </w:rPr>
        <w:endnoteReference w:id="23"/>
      </w:r>
      <w:r w:rsidR="004644BC" w:rsidRPr="006C262F">
        <w:rPr>
          <w:rFonts w:cs="Times New Roman"/>
          <w:color w:val="000000"/>
          <w:sz w:val="24"/>
          <w:szCs w:val="24"/>
        </w:rPr>
        <w:t xml:space="preserve"> </w:t>
      </w:r>
      <w:r w:rsidR="00AA4BED">
        <w:rPr>
          <w:rFonts w:cs="Times New Roman"/>
          <w:color w:val="000000"/>
          <w:sz w:val="24"/>
          <w:szCs w:val="24"/>
        </w:rPr>
        <w:t xml:space="preserve"> </w:t>
      </w:r>
      <w:proofErr w:type="spellStart"/>
      <w:r w:rsidR="00AA4BED">
        <w:rPr>
          <w:rFonts w:cs="Times New Roman"/>
          <w:color w:val="000000"/>
          <w:sz w:val="24"/>
          <w:szCs w:val="24"/>
        </w:rPr>
        <w:t>Basescu</w:t>
      </w:r>
      <w:proofErr w:type="spellEnd"/>
      <w:r w:rsidR="00AA4BED">
        <w:rPr>
          <w:rFonts w:cs="Times New Roman"/>
          <w:color w:val="000000"/>
          <w:sz w:val="24"/>
          <w:szCs w:val="24"/>
        </w:rPr>
        <w:t xml:space="preserve"> has acknowledged former involvement with the Securitate himself, albeit suggesting it was minimal, thereby demonstrating that this factor does not obviate an individual from proposing or supporting lustration. </w:t>
      </w:r>
    </w:p>
    <w:p w:rsidR="0064274E" w:rsidRPr="006C262F" w:rsidRDefault="00AD4AFB" w:rsidP="009E0AC9">
      <w:pPr>
        <w:spacing w:after="0" w:line="480" w:lineRule="auto"/>
        <w:rPr>
          <w:rFonts w:eastAsia="Times New Roman" w:cs="Times New Roman"/>
          <w:color w:val="000000"/>
          <w:sz w:val="24"/>
          <w:szCs w:val="24"/>
        </w:rPr>
      </w:pPr>
      <w:r>
        <w:rPr>
          <w:rFonts w:cs="Times New Roman"/>
          <w:color w:val="000000"/>
          <w:sz w:val="24"/>
          <w:szCs w:val="24"/>
        </w:rPr>
        <w:tab/>
      </w:r>
      <w:r w:rsidR="0064274E" w:rsidRPr="006C262F">
        <w:rPr>
          <w:rFonts w:cs="Times New Roman"/>
          <w:color w:val="000000"/>
          <w:sz w:val="24"/>
          <w:szCs w:val="24"/>
        </w:rPr>
        <w:t>For a short while</w:t>
      </w:r>
      <w:r w:rsidR="0064274E">
        <w:rPr>
          <w:rFonts w:cs="Times New Roman"/>
          <w:color w:val="000000"/>
          <w:sz w:val="24"/>
          <w:szCs w:val="24"/>
        </w:rPr>
        <w:t xml:space="preserve"> the</w:t>
      </w:r>
      <w:r w:rsidR="0064274E" w:rsidRPr="006C262F">
        <w:rPr>
          <w:rFonts w:cs="Times New Roman"/>
          <w:color w:val="000000"/>
          <w:sz w:val="24"/>
          <w:szCs w:val="24"/>
        </w:rPr>
        <w:t xml:space="preserve"> C.N.S.A.S. had both files and a legal mandate for lustration</w:t>
      </w:r>
      <w:r w:rsidR="0064274E">
        <w:rPr>
          <w:rFonts w:cs="Times New Roman"/>
          <w:color w:val="000000"/>
          <w:sz w:val="24"/>
          <w:szCs w:val="24"/>
        </w:rPr>
        <w:t xml:space="preserve">, until the </w:t>
      </w:r>
      <w:r w:rsidR="0064274E" w:rsidRPr="006C262F">
        <w:rPr>
          <w:rFonts w:cs="Times New Roman"/>
          <w:color w:val="000000"/>
          <w:sz w:val="24"/>
          <w:szCs w:val="24"/>
        </w:rPr>
        <w:t>Constitutional Court</w:t>
      </w:r>
      <w:r w:rsidR="0064274E">
        <w:rPr>
          <w:rFonts w:cs="Times New Roman"/>
          <w:color w:val="000000"/>
          <w:sz w:val="24"/>
          <w:szCs w:val="24"/>
        </w:rPr>
        <w:t xml:space="preserve"> struck down the law</w:t>
      </w:r>
      <w:r w:rsidR="0064274E" w:rsidRPr="006C262F">
        <w:rPr>
          <w:rFonts w:cs="Times New Roman"/>
          <w:color w:val="000000"/>
          <w:sz w:val="24"/>
          <w:szCs w:val="24"/>
        </w:rPr>
        <w:t xml:space="preserve"> in 2008</w:t>
      </w:r>
      <w:r w:rsidR="0064274E">
        <w:rPr>
          <w:rFonts w:cs="Times New Roman"/>
          <w:color w:val="000000"/>
          <w:sz w:val="24"/>
          <w:szCs w:val="24"/>
        </w:rPr>
        <w:t>.</w:t>
      </w:r>
      <w:r w:rsidR="0064274E" w:rsidRPr="006C262F">
        <w:rPr>
          <w:rFonts w:cs="Times New Roman"/>
          <w:color w:val="000000"/>
          <w:sz w:val="24"/>
          <w:szCs w:val="24"/>
        </w:rPr>
        <w:t xml:space="preserve"> Even more devastating, the Court ruled that aspects of the work of the C.N.S.A.S. were </w:t>
      </w:r>
      <w:proofErr w:type="gramStart"/>
      <w:r w:rsidR="0064274E" w:rsidRPr="006C262F">
        <w:rPr>
          <w:rFonts w:cs="Times New Roman"/>
          <w:color w:val="000000"/>
          <w:sz w:val="24"/>
          <w:szCs w:val="24"/>
        </w:rPr>
        <w:t>unconstitutional</w:t>
      </w:r>
      <w:r w:rsidR="0064274E">
        <w:rPr>
          <w:rFonts w:cs="Times New Roman"/>
          <w:color w:val="000000"/>
          <w:sz w:val="24"/>
          <w:szCs w:val="24"/>
        </w:rPr>
        <w:t>,</w:t>
      </w:r>
      <w:proofErr w:type="gramEnd"/>
      <w:r w:rsidR="0064274E" w:rsidRPr="006C262F">
        <w:rPr>
          <w:rFonts w:cs="Times New Roman"/>
          <w:color w:val="000000"/>
          <w:sz w:val="24"/>
          <w:szCs w:val="24"/>
        </w:rPr>
        <w:t xml:space="preserve"> arguing that by issuing verdicts on collaboration the C.N.S.A.S. was acting with </w:t>
      </w:r>
      <w:r w:rsidR="0064274E" w:rsidRPr="00E8126D">
        <w:rPr>
          <w:rFonts w:cs="Times New Roman"/>
          <w:color w:val="000000"/>
          <w:sz w:val="24"/>
          <w:szCs w:val="24"/>
        </w:rPr>
        <w:t xml:space="preserve">judicial powers for which it was not vested </w:t>
      </w:r>
      <w:r w:rsidR="0064274E" w:rsidRPr="00E8126D">
        <w:rPr>
          <w:rFonts w:cs="Times New Roman"/>
          <w:color w:val="000000"/>
          <w:sz w:val="24"/>
          <w:szCs w:val="24"/>
        </w:rPr>
        <w:lastRenderedPageBreak/>
        <w:t xml:space="preserve">(Sofia Echo 2009; </w:t>
      </w:r>
      <w:proofErr w:type="spellStart"/>
      <w:r w:rsidR="0064274E" w:rsidRPr="00E8126D">
        <w:rPr>
          <w:rFonts w:cs="Times New Roman"/>
          <w:sz w:val="24"/>
          <w:szCs w:val="24"/>
        </w:rPr>
        <w:t>Leśkiewicz</w:t>
      </w:r>
      <w:proofErr w:type="spellEnd"/>
      <w:r w:rsidR="0064274E" w:rsidRPr="00E8126D">
        <w:rPr>
          <w:rFonts w:cs="Times New Roman"/>
          <w:sz w:val="24"/>
          <w:szCs w:val="24"/>
        </w:rPr>
        <w:t xml:space="preserve"> and </w:t>
      </w:r>
      <w:proofErr w:type="spellStart"/>
      <w:r w:rsidR="0064274E" w:rsidRPr="00E8126D">
        <w:rPr>
          <w:rFonts w:cs="Times New Roman"/>
          <w:sz w:val="24"/>
          <w:szCs w:val="24"/>
        </w:rPr>
        <w:t>Žáček</w:t>
      </w:r>
      <w:proofErr w:type="spellEnd"/>
      <w:r w:rsidR="0064274E" w:rsidRPr="00E8126D">
        <w:rPr>
          <w:rFonts w:cs="Times New Roman"/>
          <w:sz w:val="24"/>
          <w:szCs w:val="24"/>
        </w:rPr>
        <w:t xml:space="preserve"> 2013, 226</w:t>
      </w:r>
      <w:r w:rsidR="0064274E">
        <w:rPr>
          <w:rFonts w:cs="Times New Roman"/>
          <w:color w:val="000000"/>
          <w:sz w:val="24"/>
          <w:szCs w:val="24"/>
        </w:rPr>
        <w:t>)</w:t>
      </w:r>
      <w:r w:rsidR="0064274E" w:rsidRPr="006C262F">
        <w:rPr>
          <w:rFonts w:cs="Times New Roman"/>
          <w:color w:val="000000"/>
          <w:sz w:val="24"/>
          <w:szCs w:val="24"/>
        </w:rPr>
        <w:t>.</w:t>
      </w:r>
      <w:r w:rsidR="0064274E" w:rsidRPr="006C262F">
        <w:rPr>
          <w:rStyle w:val="EndnoteReference"/>
          <w:rFonts w:cs="Times New Roman"/>
          <w:color w:val="000000"/>
          <w:sz w:val="24"/>
          <w:szCs w:val="24"/>
        </w:rPr>
        <w:endnoteReference w:id="24"/>
      </w:r>
      <w:r w:rsidR="0064274E" w:rsidRPr="006C262F">
        <w:rPr>
          <w:rFonts w:cs="Times New Roman"/>
          <w:color w:val="000000"/>
          <w:sz w:val="24"/>
          <w:szCs w:val="24"/>
        </w:rPr>
        <w:t xml:space="preserve">  </w:t>
      </w:r>
      <w:r w:rsidR="0064274E" w:rsidRPr="006C262F">
        <w:rPr>
          <w:rFonts w:eastAsia="Times New Roman" w:cs="Times New Roman"/>
          <w:color w:val="000000"/>
          <w:sz w:val="24"/>
          <w:szCs w:val="24"/>
        </w:rPr>
        <w:t xml:space="preserve"> The ruling was highly politicized, contradicted seven of the Court’s earlier decisions, and the widely known collaborator background of one of the judges did not lend it credibility.</w:t>
      </w:r>
      <w:r w:rsidR="0064274E" w:rsidRPr="006C262F">
        <w:rPr>
          <w:rStyle w:val="EndnoteReference"/>
          <w:rFonts w:eastAsia="Times New Roman" w:cs="Times New Roman"/>
          <w:color w:val="000000"/>
          <w:sz w:val="24"/>
          <w:szCs w:val="24"/>
        </w:rPr>
        <w:endnoteReference w:id="25"/>
      </w:r>
      <w:r w:rsidR="0064274E" w:rsidRPr="006C262F">
        <w:rPr>
          <w:rFonts w:eastAsia="Times New Roman" w:cs="Times New Roman"/>
          <w:color w:val="000000"/>
          <w:sz w:val="24"/>
          <w:szCs w:val="24"/>
        </w:rPr>
        <w:t xml:space="preserve"> In the end it was accepted and resulted in the invalidation of all the verdicts of the C.N.S.A.S. and the removal of </w:t>
      </w:r>
      <w:r w:rsidR="0064274E">
        <w:rPr>
          <w:rFonts w:eastAsia="Times New Roman" w:cs="Times New Roman"/>
          <w:color w:val="000000"/>
          <w:sz w:val="24"/>
          <w:szCs w:val="24"/>
        </w:rPr>
        <w:t>its power to issue lustration verdicts (Stan 2012, 96).</w:t>
      </w:r>
      <w:r w:rsidR="0064274E" w:rsidRPr="006C262F">
        <w:rPr>
          <w:rFonts w:eastAsia="Times New Roman" w:cs="Times New Roman"/>
          <w:color w:val="000000"/>
          <w:sz w:val="24"/>
          <w:szCs w:val="24"/>
        </w:rPr>
        <w:t xml:space="preserve"> </w:t>
      </w:r>
      <w:r w:rsidR="0064274E">
        <w:rPr>
          <w:rFonts w:eastAsia="Times New Roman" w:cs="Times New Roman"/>
          <w:color w:val="000000"/>
          <w:sz w:val="24"/>
          <w:szCs w:val="24"/>
        </w:rPr>
        <w:t xml:space="preserve">The </w:t>
      </w:r>
      <w:r w:rsidR="0064274E" w:rsidRPr="006C262F">
        <w:rPr>
          <w:rFonts w:eastAsia="Times New Roman" w:cs="Times New Roman"/>
          <w:color w:val="000000"/>
          <w:sz w:val="24"/>
          <w:szCs w:val="24"/>
        </w:rPr>
        <w:t xml:space="preserve">C.N.S.A.S. described this ruling as an "earthquake" in which it was unclear what future role the </w:t>
      </w:r>
      <w:r w:rsidR="0064274E">
        <w:rPr>
          <w:rFonts w:eastAsia="Times New Roman" w:cs="Times New Roman"/>
          <w:color w:val="000000"/>
          <w:sz w:val="24"/>
          <w:szCs w:val="24"/>
        </w:rPr>
        <w:t>agency</w:t>
      </w:r>
      <w:r w:rsidR="0064274E" w:rsidRPr="006C262F">
        <w:rPr>
          <w:rFonts w:eastAsia="Times New Roman" w:cs="Times New Roman"/>
          <w:color w:val="000000"/>
          <w:sz w:val="24"/>
          <w:szCs w:val="24"/>
        </w:rPr>
        <w:t xml:space="preserve"> would have.</w:t>
      </w:r>
      <w:r w:rsidR="0064274E" w:rsidRPr="006C262F">
        <w:rPr>
          <w:rStyle w:val="EndnoteReference"/>
          <w:rFonts w:eastAsia="Times New Roman" w:cs="Times New Roman"/>
          <w:color w:val="000000"/>
          <w:sz w:val="24"/>
          <w:szCs w:val="24"/>
        </w:rPr>
        <w:endnoteReference w:id="26"/>
      </w:r>
    </w:p>
    <w:p w:rsidR="0064274E" w:rsidRDefault="0064274E" w:rsidP="002A3196">
      <w:pPr>
        <w:spacing w:after="0" w:line="480" w:lineRule="auto"/>
        <w:rPr>
          <w:rFonts w:cs="Times New Roman"/>
          <w:color w:val="000000"/>
          <w:sz w:val="24"/>
          <w:szCs w:val="24"/>
        </w:rPr>
      </w:pPr>
      <w:r w:rsidRPr="006C262F">
        <w:rPr>
          <w:rFonts w:eastAsia="Times New Roman" w:cs="Times New Roman"/>
          <w:color w:val="000000"/>
          <w:sz w:val="24"/>
          <w:szCs w:val="24"/>
        </w:rPr>
        <w:tab/>
      </w:r>
      <w:r>
        <w:rPr>
          <w:rFonts w:eastAsia="Times New Roman" w:cs="Times New Roman"/>
          <w:color w:val="000000"/>
          <w:sz w:val="24"/>
          <w:szCs w:val="24"/>
        </w:rPr>
        <w:t xml:space="preserve">The </w:t>
      </w:r>
      <w:r w:rsidRPr="006C262F">
        <w:rPr>
          <w:rFonts w:eastAsia="Times New Roman" w:cs="Times New Roman"/>
          <w:color w:val="000000"/>
          <w:sz w:val="24"/>
          <w:szCs w:val="24"/>
        </w:rPr>
        <w:t>C.N.S.A.S. was not dissolved, but was stripped</w:t>
      </w:r>
      <w:r w:rsidRPr="006C262F">
        <w:rPr>
          <w:rFonts w:cs="Times New Roman"/>
          <w:color w:val="000000"/>
          <w:sz w:val="24"/>
          <w:szCs w:val="24"/>
        </w:rPr>
        <w:t xml:space="preserve"> of its</w:t>
      </w:r>
      <w:r w:rsidRPr="006C262F">
        <w:rPr>
          <w:rFonts w:eastAsia="Times New Roman" w:cs="Times New Roman"/>
          <w:color w:val="000000"/>
          <w:sz w:val="24"/>
          <w:szCs w:val="24"/>
        </w:rPr>
        <w:t xml:space="preserve"> ability to issue decisions regarding the status of collaborators or agents. </w:t>
      </w:r>
      <w:r>
        <w:rPr>
          <w:rFonts w:eastAsia="Times New Roman" w:cs="Times New Roman"/>
          <w:color w:val="000000"/>
          <w:sz w:val="24"/>
          <w:szCs w:val="24"/>
        </w:rPr>
        <w:t xml:space="preserve">The </w:t>
      </w:r>
      <w:r w:rsidRPr="006C262F">
        <w:rPr>
          <w:rFonts w:cs="Times New Roman"/>
          <w:color w:val="000000"/>
          <w:sz w:val="24"/>
          <w:szCs w:val="24"/>
        </w:rPr>
        <w:t>C.N.S.A.S.</w:t>
      </w:r>
      <w:r>
        <w:rPr>
          <w:rFonts w:cs="Times New Roman"/>
          <w:color w:val="000000"/>
          <w:sz w:val="24"/>
          <w:szCs w:val="24"/>
        </w:rPr>
        <w:t>’s</w:t>
      </w:r>
      <w:r w:rsidRPr="006C262F">
        <w:rPr>
          <w:rFonts w:cs="Times New Roman"/>
          <w:color w:val="000000"/>
          <w:sz w:val="24"/>
          <w:szCs w:val="24"/>
        </w:rPr>
        <w:t xml:space="preserve"> </w:t>
      </w:r>
      <w:r>
        <w:rPr>
          <w:rFonts w:cs="Times New Roman"/>
          <w:color w:val="000000"/>
          <w:sz w:val="24"/>
          <w:szCs w:val="24"/>
        </w:rPr>
        <w:t xml:space="preserve">new mandate was </w:t>
      </w:r>
      <w:r w:rsidRPr="006C262F">
        <w:rPr>
          <w:rFonts w:cs="Times New Roman"/>
          <w:color w:val="000000"/>
          <w:sz w:val="24"/>
          <w:szCs w:val="24"/>
        </w:rPr>
        <w:t xml:space="preserve">“to conduct ex-officio verification of the people who run for, or have been elected or nominated to public offices, such as </w:t>
      </w:r>
      <w:r>
        <w:rPr>
          <w:rFonts w:cs="Times New Roman"/>
          <w:color w:val="000000"/>
          <w:sz w:val="24"/>
          <w:szCs w:val="24"/>
        </w:rPr>
        <w:t xml:space="preserve">the </w:t>
      </w:r>
      <w:r w:rsidRPr="006C262F">
        <w:rPr>
          <w:rFonts w:cs="Times New Roman"/>
          <w:color w:val="000000"/>
          <w:sz w:val="24"/>
          <w:szCs w:val="24"/>
        </w:rPr>
        <w:t xml:space="preserve">President of Romania, </w:t>
      </w:r>
      <w:r>
        <w:rPr>
          <w:rFonts w:cs="Times New Roman"/>
          <w:color w:val="000000"/>
          <w:sz w:val="24"/>
          <w:szCs w:val="24"/>
        </w:rPr>
        <w:t xml:space="preserve">the </w:t>
      </w:r>
      <w:r w:rsidRPr="006C262F">
        <w:rPr>
          <w:rFonts w:cs="Times New Roman"/>
          <w:color w:val="000000"/>
          <w:sz w:val="24"/>
          <w:szCs w:val="24"/>
        </w:rPr>
        <w:t>Prime Minister, members of the cabinet, member</w:t>
      </w:r>
      <w:r>
        <w:rPr>
          <w:rFonts w:cs="Times New Roman"/>
          <w:color w:val="000000"/>
          <w:sz w:val="24"/>
          <w:szCs w:val="24"/>
        </w:rPr>
        <w:t>s</w:t>
      </w:r>
      <w:r w:rsidRPr="006C262F">
        <w:rPr>
          <w:rFonts w:cs="Times New Roman"/>
          <w:color w:val="000000"/>
          <w:sz w:val="24"/>
          <w:szCs w:val="24"/>
        </w:rPr>
        <w:t xml:space="preserve"> of the Romanian Parliament or the European Parliament”</w:t>
      </w:r>
      <w:r>
        <w:rPr>
          <w:rFonts w:cs="Times New Roman"/>
          <w:color w:val="000000"/>
          <w:sz w:val="24"/>
          <w:szCs w:val="24"/>
        </w:rPr>
        <w:t xml:space="preserve"> (European Network 2009, 59-60).</w:t>
      </w:r>
      <w:r w:rsidRPr="006C262F">
        <w:rPr>
          <w:rFonts w:cs="Times New Roman"/>
          <w:color w:val="000000"/>
          <w:sz w:val="24"/>
          <w:szCs w:val="24"/>
        </w:rPr>
        <w:t xml:space="preserve">  In this way, </w:t>
      </w:r>
      <w:r>
        <w:rPr>
          <w:rFonts w:cs="Times New Roman"/>
          <w:color w:val="000000"/>
          <w:sz w:val="24"/>
          <w:szCs w:val="24"/>
        </w:rPr>
        <w:t xml:space="preserve">the </w:t>
      </w:r>
      <w:r w:rsidRPr="006C262F">
        <w:rPr>
          <w:rFonts w:cs="Times New Roman"/>
          <w:color w:val="000000"/>
          <w:sz w:val="24"/>
          <w:szCs w:val="24"/>
        </w:rPr>
        <w:t>C.N.S.A.S. fulfills an investigative function, verifying the background of individuals</w:t>
      </w:r>
      <w:r>
        <w:rPr>
          <w:rFonts w:cs="Times New Roman"/>
          <w:color w:val="000000"/>
          <w:sz w:val="24"/>
          <w:szCs w:val="24"/>
        </w:rPr>
        <w:t>,</w:t>
      </w:r>
      <w:r w:rsidRPr="006C262F">
        <w:rPr>
          <w:rFonts w:cs="Times New Roman"/>
          <w:color w:val="000000"/>
          <w:sz w:val="24"/>
          <w:szCs w:val="24"/>
        </w:rPr>
        <w:t xml:space="preserve"> </w:t>
      </w:r>
      <w:r>
        <w:rPr>
          <w:rFonts w:cs="Times New Roman"/>
          <w:color w:val="000000"/>
          <w:sz w:val="24"/>
          <w:szCs w:val="24"/>
        </w:rPr>
        <w:t>publicly</w:t>
      </w:r>
      <w:r w:rsidRPr="006C262F">
        <w:rPr>
          <w:rFonts w:cs="Times New Roman"/>
          <w:color w:val="000000"/>
          <w:sz w:val="24"/>
          <w:szCs w:val="24"/>
        </w:rPr>
        <w:t xml:space="preserve"> disclosing the information</w:t>
      </w:r>
      <w:r>
        <w:rPr>
          <w:rFonts w:cs="Times New Roman"/>
          <w:color w:val="000000"/>
          <w:sz w:val="24"/>
          <w:szCs w:val="24"/>
        </w:rPr>
        <w:t>, and submitting</w:t>
      </w:r>
      <w:r w:rsidRPr="006C262F">
        <w:rPr>
          <w:rFonts w:cs="Times New Roman"/>
          <w:color w:val="000000"/>
          <w:sz w:val="24"/>
          <w:szCs w:val="24"/>
        </w:rPr>
        <w:t xml:space="preserve"> the evidence to the Administrative Section of the</w:t>
      </w:r>
      <w:r>
        <w:rPr>
          <w:rFonts w:cs="Times New Roman"/>
          <w:color w:val="000000"/>
          <w:sz w:val="24"/>
          <w:szCs w:val="24"/>
        </w:rPr>
        <w:t xml:space="preserve"> Bucharest Court of Appeals, which</w:t>
      </w:r>
      <w:r w:rsidRPr="006C262F">
        <w:rPr>
          <w:rFonts w:cs="Times New Roman"/>
          <w:color w:val="000000"/>
          <w:sz w:val="24"/>
          <w:szCs w:val="24"/>
        </w:rPr>
        <w:t xml:space="preserve"> is now charged with </w:t>
      </w:r>
      <w:r w:rsidRPr="00AE0FAC">
        <w:rPr>
          <w:rFonts w:cs="Times New Roman"/>
          <w:color w:val="000000"/>
          <w:sz w:val="24"/>
          <w:szCs w:val="24"/>
        </w:rPr>
        <w:t>adjudicating the case and rendering formal lustration decisions (</w:t>
      </w:r>
      <w:proofErr w:type="spellStart"/>
      <w:r w:rsidRPr="00AE0FAC">
        <w:rPr>
          <w:rFonts w:cs="Times New Roman"/>
          <w:sz w:val="24"/>
          <w:szCs w:val="24"/>
        </w:rPr>
        <w:t>Leśkiewicz</w:t>
      </w:r>
      <w:proofErr w:type="spellEnd"/>
      <w:r w:rsidRPr="00AE0FAC">
        <w:rPr>
          <w:rFonts w:cs="Times New Roman"/>
          <w:sz w:val="24"/>
          <w:szCs w:val="24"/>
        </w:rPr>
        <w:t xml:space="preserve"> and </w:t>
      </w:r>
      <w:proofErr w:type="spellStart"/>
      <w:r w:rsidRPr="00AE0FAC">
        <w:rPr>
          <w:rFonts w:cs="Times New Roman"/>
          <w:sz w:val="24"/>
          <w:szCs w:val="24"/>
        </w:rPr>
        <w:t>Žáček</w:t>
      </w:r>
      <w:proofErr w:type="spellEnd"/>
      <w:r w:rsidRPr="00AE0FAC">
        <w:rPr>
          <w:rFonts w:cs="Times New Roman"/>
          <w:sz w:val="24"/>
          <w:szCs w:val="24"/>
        </w:rPr>
        <w:t xml:space="preserve"> 2013)</w:t>
      </w:r>
      <w:r w:rsidRPr="00AE0FAC">
        <w:rPr>
          <w:rFonts w:cs="Times New Roman"/>
          <w:color w:val="000000"/>
          <w:sz w:val="24"/>
          <w:szCs w:val="24"/>
        </w:rPr>
        <w:t>.</w:t>
      </w:r>
      <w:r>
        <w:rPr>
          <w:rFonts w:cs="Times New Roman"/>
          <w:color w:val="000000"/>
          <w:sz w:val="24"/>
          <w:szCs w:val="24"/>
        </w:rPr>
        <w:t xml:space="preserve"> </w:t>
      </w:r>
      <w:r w:rsidRPr="006C262F">
        <w:rPr>
          <w:rFonts w:cs="Times New Roman"/>
          <w:color w:val="000000"/>
          <w:sz w:val="24"/>
          <w:szCs w:val="24"/>
        </w:rPr>
        <w:t xml:space="preserve"> </w:t>
      </w:r>
      <w:r>
        <w:rPr>
          <w:rFonts w:cs="Times New Roman"/>
          <w:color w:val="000000"/>
          <w:sz w:val="24"/>
          <w:szCs w:val="24"/>
        </w:rPr>
        <w:t xml:space="preserve">The </w:t>
      </w:r>
      <w:r w:rsidRPr="006C262F">
        <w:rPr>
          <w:rFonts w:cs="Times New Roman"/>
          <w:color w:val="000000"/>
          <w:sz w:val="24"/>
          <w:szCs w:val="24"/>
        </w:rPr>
        <w:t>C.N.S.A.S. cannot make official lustration decisions as it once did, but it does continue to have the power to verify the files and make public the resulting information on collaboration.</w:t>
      </w:r>
      <w:r>
        <w:rPr>
          <w:rFonts w:cs="Times New Roman"/>
          <w:color w:val="000000"/>
          <w:sz w:val="24"/>
          <w:szCs w:val="24"/>
        </w:rPr>
        <w:t xml:space="preserve"> </w:t>
      </w:r>
      <w:r>
        <w:rPr>
          <w:rFonts w:eastAsia="Times New Roman" w:cs="Times New Roman"/>
          <w:color w:val="000000"/>
          <w:sz w:val="24"/>
          <w:szCs w:val="24"/>
        </w:rPr>
        <w:t xml:space="preserve">In both </w:t>
      </w:r>
      <w:r w:rsidRPr="006C262F">
        <w:rPr>
          <w:rFonts w:eastAsia="Times New Roman" w:cs="Times New Roman"/>
          <w:color w:val="000000"/>
          <w:sz w:val="24"/>
          <w:szCs w:val="24"/>
        </w:rPr>
        <w:t>structure and function,</w:t>
      </w:r>
      <w:r>
        <w:rPr>
          <w:rFonts w:eastAsia="Times New Roman" w:cs="Times New Roman"/>
          <w:color w:val="000000"/>
          <w:sz w:val="24"/>
          <w:szCs w:val="24"/>
        </w:rPr>
        <w:t xml:space="preserve"> the</w:t>
      </w:r>
      <w:r w:rsidRPr="006C262F">
        <w:rPr>
          <w:rFonts w:eastAsia="Times New Roman" w:cs="Times New Roman"/>
          <w:color w:val="000000"/>
          <w:sz w:val="24"/>
          <w:szCs w:val="24"/>
        </w:rPr>
        <w:t xml:space="preserve"> </w:t>
      </w:r>
      <w:r>
        <w:rPr>
          <w:rFonts w:eastAsia="Times New Roman" w:cs="Times New Roman"/>
          <w:color w:val="000000"/>
          <w:sz w:val="24"/>
          <w:szCs w:val="24"/>
        </w:rPr>
        <w:t xml:space="preserve">C.N.S.A.S. </w:t>
      </w:r>
      <w:r w:rsidR="00CB54F6">
        <w:rPr>
          <w:rFonts w:cs="Times New Roman"/>
          <w:bCs/>
          <w:sz w:val="24"/>
          <w:szCs w:val="24"/>
        </w:rPr>
        <w:t xml:space="preserve">is an informal </w:t>
      </w:r>
      <w:r w:rsidRPr="006C262F">
        <w:rPr>
          <w:rFonts w:cs="Times New Roman"/>
          <w:bCs/>
          <w:sz w:val="24"/>
          <w:szCs w:val="24"/>
        </w:rPr>
        <w:t>lustration agency like the Bulgarian Dossier Commission</w:t>
      </w:r>
      <w:r w:rsidRPr="006C262F">
        <w:rPr>
          <w:rFonts w:eastAsia="Times New Roman" w:cs="Times New Roman"/>
          <w:color w:val="000000"/>
          <w:sz w:val="24"/>
          <w:szCs w:val="24"/>
        </w:rPr>
        <w:t>.</w:t>
      </w:r>
    </w:p>
    <w:p w:rsidR="0064274E" w:rsidRDefault="0064274E" w:rsidP="002A3196">
      <w:pPr>
        <w:spacing w:after="0" w:line="480" w:lineRule="auto"/>
        <w:rPr>
          <w:rFonts w:eastAsia="Times New Roman" w:cs="Times New Roman"/>
          <w:color w:val="000000"/>
          <w:sz w:val="24"/>
          <w:szCs w:val="24"/>
        </w:rPr>
      </w:pPr>
      <w:r>
        <w:rPr>
          <w:rFonts w:cs="Times New Roman"/>
          <w:color w:val="000000"/>
          <w:sz w:val="24"/>
          <w:szCs w:val="24"/>
        </w:rPr>
        <w:tab/>
      </w:r>
      <w:r w:rsidRPr="006C262F">
        <w:rPr>
          <w:rFonts w:eastAsia="Times New Roman" w:cs="Times New Roman"/>
          <w:color w:val="000000"/>
          <w:sz w:val="24"/>
          <w:szCs w:val="24"/>
        </w:rPr>
        <w:t xml:space="preserve">In </w:t>
      </w:r>
      <w:r>
        <w:rPr>
          <w:rFonts w:eastAsia="Times New Roman" w:cs="Times New Roman"/>
          <w:color w:val="000000"/>
          <w:sz w:val="24"/>
          <w:szCs w:val="24"/>
        </w:rPr>
        <w:t xml:space="preserve">sum, it is important to note that both Bulgaria and Romania turned away from lustration, rejecting its punitive employment aspects.  The rejection in both cases was formalized by Constitutional Court rulings, foreclosing lustration as bureaucratic change devices in both countries. Additionally, problems with the politicization of lustration, disclosures and file access </w:t>
      </w:r>
      <w:r>
        <w:rPr>
          <w:rFonts w:eastAsia="Times New Roman" w:cs="Times New Roman"/>
          <w:color w:val="000000"/>
          <w:sz w:val="24"/>
          <w:szCs w:val="24"/>
        </w:rPr>
        <w:lastRenderedPageBreak/>
        <w:t xml:space="preserve">sullied the process in both countries, catalyzing some distrust of the objectivity of these agencies.  The following section explores in more detail how these two agencies renewed public interest in lustration and engaged with a process of informal lustration, despite the legal obstacles. </w:t>
      </w:r>
      <w:r w:rsidRPr="006C262F">
        <w:rPr>
          <w:rFonts w:eastAsia="Times New Roman" w:cs="Times New Roman"/>
          <w:color w:val="000000"/>
          <w:sz w:val="24"/>
          <w:szCs w:val="24"/>
        </w:rPr>
        <w:t xml:space="preserve">While </w:t>
      </w:r>
      <w:r>
        <w:rPr>
          <w:rFonts w:eastAsia="Times New Roman" w:cs="Times New Roman"/>
          <w:color w:val="000000"/>
          <w:sz w:val="24"/>
          <w:szCs w:val="24"/>
        </w:rPr>
        <w:t>both agencies’ primary</w:t>
      </w:r>
      <w:r w:rsidRPr="006C262F">
        <w:rPr>
          <w:rFonts w:eastAsia="Times New Roman" w:cs="Times New Roman"/>
          <w:color w:val="000000"/>
          <w:sz w:val="24"/>
          <w:szCs w:val="24"/>
        </w:rPr>
        <w:t xml:space="preserve"> role is </w:t>
      </w:r>
      <w:r>
        <w:rPr>
          <w:rFonts w:eastAsia="Times New Roman" w:cs="Times New Roman"/>
          <w:color w:val="000000"/>
          <w:sz w:val="24"/>
          <w:szCs w:val="24"/>
        </w:rPr>
        <w:t xml:space="preserve">largely </w:t>
      </w:r>
      <w:r w:rsidRPr="006C262F">
        <w:rPr>
          <w:rFonts w:eastAsia="Times New Roman" w:cs="Times New Roman"/>
          <w:color w:val="000000"/>
          <w:sz w:val="24"/>
          <w:szCs w:val="24"/>
        </w:rPr>
        <w:t xml:space="preserve">symbolic—disclosing the collaborator/informant past of individuals in positions of power—the disclosures do result in some institutional change and reveal on on-going process of </w:t>
      </w:r>
      <w:r>
        <w:rPr>
          <w:rFonts w:eastAsia="Times New Roman" w:cs="Times New Roman"/>
          <w:color w:val="000000"/>
          <w:sz w:val="24"/>
          <w:szCs w:val="24"/>
        </w:rPr>
        <w:t>coming to terms with the past</w:t>
      </w:r>
      <w:r w:rsidRPr="006C262F">
        <w:rPr>
          <w:rFonts w:eastAsia="Times New Roman" w:cs="Times New Roman"/>
          <w:color w:val="000000"/>
          <w:sz w:val="24"/>
          <w:szCs w:val="24"/>
        </w:rPr>
        <w:t>.</w:t>
      </w:r>
    </w:p>
    <w:p w:rsidR="0064274E" w:rsidRPr="002A3196" w:rsidRDefault="0064274E" w:rsidP="002A3196">
      <w:pPr>
        <w:spacing w:after="0" w:line="480" w:lineRule="auto"/>
        <w:rPr>
          <w:rFonts w:cs="Times New Roman"/>
          <w:color w:val="000000"/>
          <w:sz w:val="24"/>
          <w:szCs w:val="24"/>
        </w:rPr>
      </w:pPr>
    </w:p>
    <w:p w:rsidR="0064274E" w:rsidRPr="00E66066" w:rsidRDefault="0064274E" w:rsidP="002D49EF">
      <w:pPr>
        <w:spacing w:after="0" w:line="480" w:lineRule="auto"/>
        <w:rPr>
          <w:b/>
          <w:sz w:val="24"/>
          <w:szCs w:val="24"/>
        </w:rPr>
      </w:pPr>
      <w:r w:rsidRPr="00E66066">
        <w:rPr>
          <w:b/>
          <w:sz w:val="24"/>
          <w:szCs w:val="24"/>
        </w:rPr>
        <w:t>Public disclosures</w:t>
      </w:r>
      <w:r>
        <w:rPr>
          <w:b/>
          <w:sz w:val="24"/>
          <w:szCs w:val="24"/>
        </w:rPr>
        <w:t xml:space="preserve"> as lustration devices</w:t>
      </w:r>
    </w:p>
    <w:p w:rsidR="0064274E" w:rsidRDefault="0064274E" w:rsidP="008D271E">
      <w:pPr>
        <w:spacing w:after="0" w:line="480" w:lineRule="auto"/>
        <w:ind w:firstLine="720"/>
        <w:jc w:val="both"/>
        <w:rPr>
          <w:sz w:val="24"/>
          <w:szCs w:val="24"/>
        </w:rPr>
      </w:pPr>
      <w:r>
        <w:rPr>
          <w:sz w:val="24"/>
          <w:szCs w:val="24"/>
        </w:rPr>
        <w:t xml:space="preserve">Public disclosures have a tainted reputation in some post-communist countries, connoting the </w:t>
      </w:r>
      <w:r w:rsidRPr="00BE76E4">
        <w:rPr>
          <w:sz w:val="24"/>
          <w:szCs w:val="24"/>
        </w:rPr>
        <w:t>unauthorized</w:t>
      </w:r>
      <w:r>
        <w:rPr>
          <w:sz w:val="24"/>
          <w:szCs w:val="24"/>
        </w:rPr>
        <w:t xml:space="preserve">, </w:t>
      </w:r>
      <w:r w:rsidRPr="00BE76E4">
        <w:rPr>
          <w:sz w:val="24"/>
          <w:szCs w:val="24"/>
        </w:rPr>
        <w:t xml:space="preserve">unverified </w:t>
      </w:r>
      <w:r>
        <w:rPr>
          <w:sz w:val="24"/>
          <w:szCs w:val="24"/>
        </w:rPr>
        <w:t xml:space="preserve">and politicized </w:t>
      </w:r>
      <w:r w:rsidRPr="00BE76E4">
        <w:rPr>
          <w:sz w:val="24"/>
          <w:szCs w:val="24"/>
        </w:rPr>
        <w:t xml:space="preserve">public </w:t>
      </w:r>
      <w:r>
        <w:rPr>
          <w:sz w:val="24"/>
          <w:szCs w:val="24"/>
        </w:rPr>
        <w:t xml:space="preserve">revelations </w:t>
      </w:r>
      <w:r w:rsidRPr="00BE76E4">
        <w:rPr>
          <w:sz w:val="24"/>
          <w:szCs w:val="24"/>
        </w:rPr>
        <w:t xml:space="preserve">of </w:t>
      </w:r>
      <w:r>
        <w:rPr>
          <w:sz w:val="24"/>
          <w:szCs w:val="24"/>
        </w:rPr>
        <w:t xml:space="preserve">selected </w:t>
      </w:r>
      <w:r w:rsidRPr="00BE76E4">
        <w:rPr>
          <w:sz w:val="24"/>
          <w:szCs w:val="24"/>
        </w:rPr>
        <w:t xml:space="preserve">secret police files </w:t>
      </w:r>
      <w:r>
        <w:rPr>
          <w:sz w:val="24"/>
          <w:szCs w:val="24"/>
        </w:rPr>
        <w:t xml:space="preserve">in order </w:t>
      </w:r>
      <w:r w:rsidRPr="00BE76E4">
        <w:rPr>
          <w:sz w:val="24"/>
          <w:szCs w:val="24"/>
        </w:rPr>
        <w:t>to purge the opposition or s</w:t>
      </w:r>
      <w:r>
        <w:rPr>
          <w:sz w:val="24"/>
          <w:szCs w:val="24"/>
        </w:rPr>
        <w:t>hock the government into change. This happened in Poland with the publication of an unverified list of more than 160,000 ‘collaborators’ dubbed</w:t>
      </w:r>
      <w:r w:rsidRPr="00BE76E4">
        <w:rPr>
          <w:sz w:val="24"/>
          <w:szCs w:val="24"/>
        </w:rPr>
        <w:t xml:space="preserve"> </w:t>
      </w:r>
      <w:r>
        <w:rPr>
          <w:sz w:val="24"/>
          <w:szCs w:val="24"/>
        </w:rPr>
        <w:t>‘</w:t>
      </w:r>
      <w:proofErr w:type="spellStart"/>
      <w:r w:rsidRPr="00BE76E4">
        <w:rPr>
          <w:sz w:val="24"/>
          <w:szCs w:val="24"/>
        </w:rPr>
        <w:t>Wildstein’s</w:t>
      </w:r>
      <w:proofErr w:type="spellEnd"/>
      <w:r w:rsidRPr="00BE76E4">
        <w:rPr>
          <w:sz w:val="24"/>
          <w:szCs w:val="24"/>
        </w:rPr>
        <w:t xml:space="preserve"> list</w:t>
      </w:r>
      <w:r>
        <w:rPr>
          <w:sz w:val="24"/>
          <w:szCs w:val="24"/>
        </w:rPr>
        <w:t>’ due to the reporter that secretly copied and leaked the names (</w:t>
      </w:r>
      <w:proofErr w:type="spellStart"/>
      <w:r>
        <w:rPr>
          <w:sz w:val="24"/>
          <w:szCs w:val="24"/>
        </w:rPr>
        <w:t>Kosc</w:t>
      </w:r>
      <w:proofErr w:type="spellEnd"/>
      <w:r>
        <w:rPr>
          <w:sz w:val="24"/>
          <w:szCs w:val="24"/>
        </w:rPr>
        <w:t xml:space="preserve"> 2005).  It also happened in Hungary when the newspaper--</w:t>
      </w:r>
      <w:r w:rsidRPr="00BE76E4">
        <w:rPr>
          <w:sz w:val="24"/>
          <w:szCs w:val="24"/>
        </w:rPr>
        <w:t xml:space="preserve"> </w:t>
      </w:r>
      <w:r w:rsidRPr="00BE76E4">
        <w:rPr>
          <w:i/>
          <w:sz w:val="24"/>
          <w:szCs w:val="24"/>
        </w:rPr>
        <w:t xml:space="preserve">Magyar </w:t>
      </w:r>
      <w:proofErr w:type="spellStart"/>
      <w:r w:rsidRPr="00BE76E4">
        <w:rPr>
          <w:i/>
          <w:sz w:val="24"/>
          <w:szCs w:val="24"/>
        </w:rPr>
        <w:t>Hirlap</w:t>
      </w:r>
      <w:proofErr w:type="spellEnd"/>
      <w:r>
        <w:rPr>
          <w:i/>
          <w:sz w:val="24"/>
          <w:szCs w:val="24"/>
        </w:rPr>
        <w:t>--</w:t>
      </w:r>
      <w:r w:rsidRPr="004024E5">
        <w:rPr>
          <w:sz w:val="24"/>
          <w:szCs w:val="24"/>
        </w:rPr>
        <w:t xml:space="preserve"> </w:t>
      </w:r>
      <w:r>
        <w:rPr>
          <w:sz w:val="24"/>
          <w:szCs w:val="24"/>
        </w:rPr>
        <w:t>published</w:t>
      </w:r>
      <w:r w:rsidRPr="00BE76E4">
        <w:rPr>
          <w:sz w:val="24"/>
          <w:szCs w:val="24"/>
        </w:rPr>
        <w:t xml:space="preserve"> an unverified list of collaborators</w:t>
      </w:r>
      <w:r>
        <w:rPr>
          <w:sz w:val="24"/>
          <w:szCs w:val="24"/>
        </w:rPr>
        <w:t xml:space="preserve"> in order to force the government for more transparency and </w:t>
      </w:r>
      <w:proofErr w:type="gramStart"/>
      <w:r>
        <w:rPr>
          <w:sz w:val="24"/>
          <w:szCs w:val="24"/>
        </w:rPr>
        <w:t>lustration</w:t>
      </w:r>
      <w:r w:rsidRPr="00BE76E4">
        <w:rPr>
          <w:sz w:val="24"/>
          <w:szCs w:val="24"/>
        </w:rPr>
        <w:t>,</w:t>
      </w:r>
      <w:proofErr w:type="gramEnd"/>
      <w:r w:rsidRPr="00BE76E4">
        <w:rPr>
          <w:sz w:val="24"/>
          <w:szCs w:val="24"/>
        </w:rPr>
        <w:t xml:space="preserve"> </w:t>
      </w:r>
      <w:r>
        <w:rPr>
          <w:sz w:val="24"/>
          <w:szCs w:val="24"/>
        </w:rPr>
        <w:t xml:space="preserve">and even in </w:t>
      </w:r>
      <w:r w:rsidRPr="00BE76E4">
        <w:rPr>
          <w:sz w:val="24"/>
          <w:szCs w:val="24"/>
        </w:rPr>
        <w:t xml:space="preserve">the Czech </w:t>
      </w:r>
      <w:r>
        <w:rPr>
          <w:sz w:val="24"/>
          <w:szCs w:val="24"/>
        </w:rPr>
        <w:t>Republic when the Ministry of Interior</w:t>
      </w:r>
      <w:r w:rsidRPr="00BE76E4">
        <w:rPr>
          <w:sz w:val="24"/>
          <w:szCs w:val="24"/>
        </w:rPr>
        <w:t xml:space="preserve"> publi</w:t>
      </w:r>
      <w:r>
        <w:rPr>
          <w:sz w:val="24"/>
          <w:szCs w:val="24"/>
        </w:rPr>
        <w:t xml:space="preserve">shed </w:t>
      </w:r>
      <w:r w:rsidRPr="00BE76E4">
        <w:rPr>
          <w:sz w:val="24"/>
          <w:szCs w:val="24"/>
        </w:rPr>
        <w:t>an unverified list of secret police informers on its website</w:t>
      </w:r>
      <w:r>
        <w:rPr>
          <w:sz w:val="24"/>
          <w:szCs w:val="24"/>
        </w:rPr>
        <w:t xml:space="preserve"> (Stan 2011</w:t>
      </w:r>
      <w:r w:rsidR="00DB7088">
        <w:rPr>
          <w:sz w:val="24"/>
          <w:szCs w:val="24"/>
        </w:rPr>
        <w:t>; David 2013</w:t>
      </w:r>
      <w:r>
        <w:rPr>
          <w:sz w:val="24"/>
          <w:szCs w:val="24"/>
        </w:rPr>
        <w:t>)</w:t>
      </w:r>
      <w:r w:rsidRPr="00BE76E4">
        <w:rPr>
          <w:sz w:val="24"/>
          <w:szCs w:val="24"/>
        </w:rPr>
        <w:t>.</w:t>
      </w:r>
      <w:r w:rsidRPr="00BE76E4">
        <w:rPr>
          <w:rStyle w:val="EndnoteReference"/>
          <w:sz w:val="24"/>
          <w:szCs w:val="24"/>
        </w:rPr>
        <w:endnoteReference w:id="27"/>
      </w:r>
      <w:r w:rsidRPr="00BE76E4">
        <w:rPr>
          <w:sz w:val="24"/>
          <w:szCs w:val="24"/>
        </w:rPr>
        <w:t xml:space="preserve"> </w:t>
      </w:r>
      <w:r>
        <w:rPr>
          <w:sz w:val="24"/>
          <w:szCs w:val="24"/>
        </w:rPr>
        <w:t>P</w:t>
      </w:r>
      <w:r w:rsidRPr="00BE76E4">
        <w:rPr>
          <w:sz w:val="24"/>
          <w:szCs w:val="24"/>
        </w:rPr>
        <w:t xml:space="preserve">ublic disclosures in </w:t>
      </w:r>
      <w:r>
        <w:rPr>
          <w:sz w:val="24"/>
          <w:szCs w:val="24"/>
        </w:rPr>
        <w:t xml:space="preserve">Romania and Bulgaria are legally prescribed and formally administered by the file repository agencies. While public disclosures have their legal problems, information challenges, and potential scope overreach issues, the processes in Bulgaria and Romania more closely resemble lustration than the aforementioned examples of public disclosures as </w:t>
      </w:r>
      <w:proofErr w:type="gramStart"/>
      <w:r>
        <w:rPr>
          <w:sz w:val="24"/>
          <w:szCs w:val="24"/>
        </w:rPr>
        <w:t>wild west</w:t>
      </w:r>
      <w:proofErr w:type="gramEnd"/>
      <w:r>
        <w:rPr>
          <w:sz w:val="24"/>
          <w:szCs w:val="24"/>
        </w:rPr>
        <w:t xml:space="preserve"> style purges. </w:t>
      </w:r>
    </w:p>
    <w:p w:rsidR="0064274E" w:rsidRPr="00117DEB" w:rsidRDefault="0064274E" w:rsidP="008D271E">
      <w:pPr>
        <w:spacing w:after="0" w:line="480" w:lineRule="auto"/>
        <w:ind w:firstLine="720"/>
        <w:jc w:val="both"/>
        <w:rPr>
          <w:b/>
          <w:i/>
          <w:sz w:val="24"/>
          <w:szCs w:val="24"/>
        </w:rPr>
      </w:pPr>
      <w:r w:rsidRPr="00117DEB">
        <w:rPr>
          <w:b/>
          <w:i/>
          <w:sz w:val="24"/>
          <w:szCs w:val="24"/>
        </w:rPr>
        <w:t>Using the files</w:t>
      </w:r>
      <w:r>
        <w:rPr>
          <w:b/>
          <w:i/>
          <w:sz w:val="24"/>
          <w:szCs w:val="24"/>
        </w:rPr>
        <w:t xml:space="preserve">: ascertaining collaboration </w:t>
      </w:r>
    </w:p>
    <w:p w:rsidR="0064274E" w:rsidRDefault="0064274E" w:rsidP="000816B7">
      <w:pPr>
        <w:spacing w:after="0" w:line="480" w:lineRule="auto"/>
        <w:rPr>
          <w:sz w:val="24"/>
          <w:szCs w:val="24"/>
        </w:rPr>
      </w:pPr>
      <w:r>
        <w:rPr>
          <w:sz w:val="24"/>
          <w:szCs w:val="24"/>
        </w:rPr>
        <w:lastRenderedPageBreak/>
        <w:tab/>
        <w:t xml:space="preserve">One of the more contentious aspects of public disclosures and lustration is the use of the secret police files.  Given the problems with selective file destruction, continued classification of some files, and the potential misinformation in existing files, the appropriateness of a process </w:t>
      </w:r>
      <w:r w:rsidRPr="00E8126D">
        <w:rPr>
          <w:sz w:val="24"/>
          <w:szCs w:val="24"/>
        </w:rPr>
        <w:t>based on the use of such potentially flawed information has been actively debated (</w:t>
      </w:r>
      <w:proofErr w:type="spellStart"/>
      <w:r w:rsidRPr="00E8126D">
        <w:rPr>
          <w:sz w:val="24"/>
          <w:szCs w:val="24"/>
        </w:rPr>
        <w:t>Michnik</w:t>
      </w:r>
      <w:proofErr w:type="spellEnd"/>
      <w:r w:rsidRPr="00E8126D">
        <w:rPr>
          <w:sz w:val="24"/>
          <w:szCs w:val="24"/>
        </w:rPr>
        <w:t xml:space="preserve"> </w:t>
      </w:r>
      <w:r>
        <w:rPr>
          <w:sz w:val="24"/>
          <w:szCs w:val="24"/>
        </w:rPr>
        <w:t xml:space="preserve">and Havel 1993; </w:t>
      </w:r>
      <w:proofErr w:type="spellStart"/>
      <w:r>
        <w:rPr>
          <w:sz w:val="24"/>
          <w:szCs w:val="24"/>
        </w:rPr>
        <w:t>Varga</w:t>
      </w:r>
      <w:proofErr w:type="spellEnd"/>
      <w:r>
        <w:rPr>
          <w:sz w:val="24"/>
          <w:szCs w:val="24"/>
        </w:rPr>
        <w:t xml:space="preserve"> 1997). The problems are not unique to Romania and Bulgaria; similar problems confronted regional lustration programs, although in the end countries weighed the use of the files and opted to proceed with lustration.  Both processes of lustration and public disclosures are necessarily incomplete because of missing files, however both also rest on the belief that there is utility in making transparent the hundreds of thousands of files that do exist. This resonates with the moral and procedural problems all post-communist countries faced to different degrees.</w:t>
      </w:r>
    </w:p>
    <w:p w:rsidR="0064274E" w:rsidRDefault="0064274E" w:rsidP="00027728">
      <w:pPr>
        <w:spacing w:after="0" w:line="480" w:lineRule="auto"/>
        <w:rPr>
          <w:rFonts w:cs="Times New Roman"/>
          <w:color w:val="000000"/>
          <w:sz w:val="24"/>
          <w:szCs w:val="24"/>
        </w:rPr>
      </w:pPr>
      <w:r>
        <w:rPr>
          <w:sz w:val="24"/>
          <w:szCs w:val="24"/>
        </w:rPr>
        <w:tab/>
        <w:t>In Bulgaria, the Dossier Commission holds approximately 1,000 linear meters of files and archived material</w:t>
      </w:r>
      <w:r w:rsidRPr="00E8126D">
        <w:rPr>
          <w:sz w:val="24"/>
          <w:szCs w:val="24"/>
        </w:rPr>
        <w:t>s, and the Commission estimates that 140,000 files were destroyed (</w:t>
      </w:r>
      <w:proofErr w:type="spellStart"/>
      <w:r w:rsidRPr="00E8126D">
        <w:rPr>
          <w:rFonts w:cs="Times New Roman"/>
          <w:sz w:val="24"/>
          <w:szCs w:val="24"/>
        </w:rPr>
        <w:t>Leśkiewicz</w:t>
      </w:r>
      <w:proofErr w:type="spellEnd"/>
      <w:r w:rsidRPr="00E8126D">
        <w:rPr>
          <w:rFonts w:cs="Times New Roman"/>
          <w:sz w:val="24"/>
          <w:szCs w:val="24"/>
        </w:rPr>
        <w:t xml:space="preserve"> and </w:t>
      </w:r>
      <w:proofErr w:type="spellStart"/>
      <w:r w:rsidRPr="00E8126D">
        <w:rPr>
          <w:rFonts w:cs="Times New Roman"/>
          <w:sz w:val="24"/>
          <w:szCs w:val="24"/>
        </w:rPr>
        <w:t>Žáček</w:t>
      </w:r>
      <w:proofErr w:type="spellEnd"/>
      <w:r w:rsidRPr="00E8126D">
        <w:rPr>
          <w:rFonts w:cs="Times New Roman"/>
          <w:sz w:val="24"/>
          <w:szCs w:val="24"/>
        </w:rPr>
        <w:t xml:space="preserve"> 2013,</w:t>
      </w:r>
      <w:r>
        <w:rPr>
          <w:rFonts w:cs="Times New Roman"/>
          <w:sz w:val="24"/>
          <w:szCs w:val="24"/>
        </w:rPr>
        <w:t xml:space="preserve"> </w:t>
      </w:r>
      <w:r w:rsidRPr="00E8126D">
        <w:rPr>
          <w:rFonts w:cs="Times New Roman"/>
          <w:sz w:val="24"/>
          <w:szCs w:val="24"/>
        </w:rPr>
        <w:t>8-9)</w:t>
      </w:r>
      <w:r>
        <w:rPr>
          <w:sz w:val="24"/>
          <w:szCs w:val="24"/>
        </w:rPr>
        <w:t>.</w:t>
      </w:r>
      <w:r w:rsidRPr="00027728">
        <w:rPr>
          <w:rStyle w:val="EndnoteReference"/>
          <w:sz w:val="24"/>
          <w:szCs w:val="24"/>
        </w:rPr>
        <w:t xml:space="preserve"> </w:t>
      </w:r>
      <w:r>
        <w:rPr>
          <w:rStyle w:val="EndnoteReference"/>
          <w:sz w:val="24"/>
          <w:szCs w:val="24"/>
        </w:rPr>
        <w:endnoteReference w:id="28"/>
      </w:r>
      <w:r>
        <w:rPr>
          <w:sz w:val="24"/>
          <w:szCs w:val="24"/>
        </w:rPr>
        <w:t xml:space="preserve"> As of 2010, 100,000 archival documents—meaning files and related materials—were held by the Commission.  In Romania, the C.N.S.A.S. currently holds 24,000 linear meters of archival materials, and it continues to receive additions from other bureaucratic agencies (C.N.S.A.S. 2012, 5).  As of 2012, 50,000 files were still not transferred to the C.N.S.A.S. from the intelligence services but the file transfer process remained ongoing, with 3,456 documents transferred to the C.N.S.A.S. in 2012 alone.</w:t>
      </w:r>
      <w:r>
        <w:rPr>
          <w:rStyle w:val="EndnoteReference"/>
          <w:sz w:val="24"/>
          <w:szCs w:val="24"/>
        </w:rPr>
        <w:endnoteReference w:id="29"/>
      </w:r>
      <w:r>
        <w:rPr>
          <w:sz w:val="24"/>
          <w:szCs w:val="24"/>
        </w:rPr>
        <w:t xml:space="preserve"> As of the 2009 inventory, the C.N.S.A.S. held almost 500,000 files on network informers </w:t>
      </w:r>
      <w:r w:rsidRPr="00E8126D">
        <w:rPr>
          <w:sz w:val="24"/>
          <w:szCs w:val="24"/>
        </w:rPr>
        <w:t>(</w:t>
      </w:r>
      <w:proofErr w:type="spellStart"/>
      <w:r w:rsidRPr="00E8126D">
        <w:rPr>
          <w:rFonts w:cs="Times New Roman"/>
          <w:sz w:val="24"/>
          <w:szCs w:val="24"/>
        </w:rPr>
        <w:t>Leśkiewicz</w:t>
      </w:r>
      <w:proofErr w:type="spellEnd"/>
      <w:r w:rsidRPr="00E8126D">
        <w:rPr>
          <w:rFonts w:cs="Times New Roman"/>
          <w:sz w:val="24"/>
          <w:szCs w:val="24"/>
        </w:rPr>
        <w:t xml:space="preserve"> and </w:t>
      </w:r>
      <w:proofErr w:type="spellStart"/>
      <w:r w:rsidRPr="00E8126D">
        <w:rPr>
          <w:rFonts w:cs="Times New Roman"/>
          <w:sz w:val="24"/>
          <w:szCs w:val="24"/>
        </w:rPr>
        <w:t>Žáček</w:t>
      </w:r>
      <w:proofErr w:type="spellEnd"/>
      <w:r w:rsidRPr="00E8126D">
        <w:rPr>
          <w:rFonts w:cs="Times New Roman"/>
          <w:sz w:val="24"/>
          <w:szCs w:val="24"/>
        </w:rPr>
        <w:t xml:space="preserve"> 2013,</w:t>
      </w:r>
      <w:r>
        <w:rPr>
          <w:rFonts w:cs="Times New Roman"/>
          <w:sz w:val="24"/>
          <w:szCs w:val="24"/>
        </w:rPr>
        <w:t xml:space="preserve"> 222</w:t>
      </w:r>
      <w:r w:rsidRPr="00E8126D">
        <w:rPr>
          <w:rFonts w:cs="Times New Roman"/>
          <w:sz w:val="24"/>
          <w:szCs w:val="24"/>
        </w:rPr>
        <w:t>)</w:t>
      </w:r>
      <w:r>
        <w:rPr>
          <w:sz w:val="24"/>
          <w:szCs w:val="24"/>
        </w:rPr>
        <w:t>. Both secret police file repository agencies hold the vast majority of remaining files and supporting documents, and the number of existing files is significantly large to suggest a meaningful accounting of the past remains possible.</w:t>
      </w:r>
    </w:p>
    <w:p w:rsidR="0064274E" w:rsidRDefault="0064274E" w:rsidP="008D271E">
      <w:pPr>
        <w:spacing w:after="0" w:line="480" w:lineRule="auto"/>
        <w:ind w:firstLine="720"/>
        <w:jc w:val="both"/>
        <w:rPr>
          <w:sz w:val="24"/>
          <w:szCs w:val="24"/>
        </w:rPr>
      </w:pPr>
      <w:r>
        <w:rPr>
          <w:sz w:val="24"/>
          <w:szCs w:val="24"/>
        </w:rPr>
        <w:lastRenderedPageBreak/>
        <w:t>Determining if an individual was a collaborator or agent with the secret police is an involved process in both countries.  Collaboration is not determined by the existence of a file alone.  It requires evidence that an individual actively collaborated with the secret police, that an individual signed documents in his/her own handwriting showing real engagement with the security services, and evidence that the information caused harm to others. Given the known problems with file veracity, the agencies are required to verify in multiple ways that an individual was a collaborator or active agent.  This reflects the procedures developed to address similar problems determining collaboration in lustration decisions in countries like Poland and Hungary.</w:t>
      </w:r>
      <w:r>
        <w:rPr>
          <w:rStyle w:val="EndnoteReference"/>
          <w:sz w:val="24"/>
          <w:szCs w:val="24"/>
        </w:rPr>
        <w:endnoteReference w:id="30"/>
      </w:r>
      <w:r>
        <w:rPr>
          <w:sz w:val="24"/>
          <w:szCs w:val="24"/>
        </w:rPr>
        <w:t xml:space="preserve"> </w:t>
      </w:r>
    </w:p>
    <w:p w:rsidR="0064274E" w:rsidRDefault="0064274E" w:rsidP="008D271E">
      <w:pPr>
        <w:spacing w:after="0" w:line="480" w:lineRule="auto"/>
        <w:ind w:firstLine="720"/>
        <w:jc w:val="both"/>
        <w:rPr>
          <w:sz w:val="24"/>
          <w:szCs w:val="24"/>
        </w:rPr>
      </w:pPr>
      <w:r>
        <w:rPr>
          <w:sz w:val="24"/>
          <w:szCs w:val="24"/>
        </w:rPr>
        <w:t>In Bulgaria multiple documents were collected by the KDS, including the files themselves, a registration log, and index cards for collaborators. Although many files were destroyed, the registration diary and the index cards remained intact in Bulgaria. The index cards list basic information about each informer, including name, level of involvement, alias, recruitment date and personal facts.  The registration log documents the meetings and contacts between agents and collaborators, and the files include extensive information about both the informant and the information he/she conveyed to the secret police. The registration diary has no gaps—it cannot be easily manipulated because it does not allow for information that is out of sequence.  In order to determine collaboration, the official number in the file registry must match the code name given for each agent or collaborator, and corroborate the index card and information received in the files, thereby providing a system of cross-checks.</w:t>
      </w:r>
      <w:r>
        <w:rPr>
          <w:rStyle w:val="EndnoteReference"/>
          <w:sz w:val="24"/>
          <w:szCs w:val="24"/>
        </w:rPr>
        <w:endnoteReference w:id="31"/>
      </w:r>
      <w:r>
        <w:rPr>
          <w:sz w:val="24"/>
          <w:szCs w:val="24"/>
        </w:rPr>
        <w:t xml:space="preserve"> The mere presence or absence of a file is not sufficient to conclude collaboration (or lack thereof). Importantly, the registration diary and the index cards allow the Commission to have a better </w:t>
      </w:r>
      <w:r>
        <w:rPr>
          <w:sz w:val="24"/>
          <w:szCs w:val="24"/>
        </w:rPr>
        <w:lastRenderedPageBreak/>
        <w:t>idea of which files were destroyed, contributing to the reconstruction of a more comprehensive understanding of the past.</w:t>
      </w:r>
    </w:p>
    <w:p w:rsidR="0064274E" w:rsidRDefault="0064274E" w:rsidP="00F5040D">
      <w:pPr>
        <w:spacing w:after="0" w:line="480" w:lineRule="auto"/>
        <w:ind w:firstLine="720"/>
        <w:jc w:val="both"/>
        <w:rPr>
          <w:sz w:val="24"/>
          <w:szCs w:val="24"/>
        </w:rPr>
      </w:pPr>
      <w:r>
        <w:rPr>
          <w:sz w:val="24"/>
          <w:szCs w:val="24"/>
        </w:rPr>
        <w:t xml:space="preserve">In Romania, collaboration must be a function of “individual deeds and proof beyond a reasonable doubt concerning the infringement of fundamental rights and liberties” not simply evidence of an association with the </w:t>
      </w:r>
      <w:r>
        <w:rPr>
          <w:i/>
          <w:sz w:val="24"/>
          <w:szCs w:val="24"/>
        </w:rPr>
        <w:t>Securitate</w:t>
      </w:r>
      <w:r>
        <w:rPr>
          <w:sz w:val="24"/>
          <w:szCs w:val="24"/>
        </w:rPr>
        <w:t>.</w:t>
      </w:r>
      <w:r>
        <w:rPr>
          <w:rStyle w:val="EndnoteReference"/>
          <w:sz w:val="24"/>
          <w:szCs w:val="24"/>
        </w:rPr>
        <w:endnoteReference w:id="32"/>
      </w:r>
      <w:r>
        <w:rPr>
          <w:sz w:val="24"/>
          <w:szCs w:val="24"/>
        </w:rPr>
        <w:t xml:space="preserve">  There are four types of files that can be cross checked for accuracy, and there are procedures for ascertaining collaboration that improve the reliability of the process.</w:t>
      </w:r>
      <w:r>
        <w:rPr>
          <w:rStyle w:val="EndnoteReference"/>
          <w:sz w:val="24"/>
          <w:szCs w:val="24"/>
        </w:rPr>
        <w:endnoteReference w:id="33"/>
      </w:r>
      <w:r>
        <w:rPr>
          <w:sz w:val="24"/>
          <w:szCs w:val="24"/>
        </w:rPr>
        <w:t xml:space="preserve">  In particular, the presence or absence of a file does not confirm collaboration. The files must demonstrate the active engagement of citizens with the </w:t>
      </w:r>
      <w:r w:rsidRPr="00620E74">
        <w:rPr>
          <w:i/>
          <w:sz w:val="24"/>
          <w:szCs w:val="24"/>
        </w:rPr>
        <w:t>Securitate</w:t>
      </w:r>
      <w:r>
        <w:rPr>
          <w:sz w:val="24"/>
          <w:szCs w:val="24"/>
        </w:rPr>
        <w:t xml:space="preserve"> for personal gain, must include written proof, and include contextualizing factors that might qualify why an individual collaborated or if the collaboration was coerced. When these contextualizing factors are considered, the C.N.S.A.S. Vice President Dr. </w:t>
      </w:r>
      <w:proofErr w:type="spellStart"/>
      <w:r>
        <w:rPr>
          <w:sz w:val="24"/>
          <w:szCs w:val="24"/>
        </w:rPr>
        <w:t>Cioflâncă</w:t>
      </w:r>
      <w:proofErr w:type="spellEnd"/>
      <w:r>
        <w:rPr>
          <w:sz w:val="24"/>
          <w:szCs w:val="24"/>
        </w:rPr>
        <w:t xml:space="preserve"> suggested that perhaps 50% of people in the files demonstrated </w:t>
      </w:r>
      <w:r w:rsidRPr="00620E74">
        <w:rPr>
          <w:i/>
          <w:sz w:val="24"/>
          <w:szCs w:val="24"/>
        </w:rPr>
        <w:t>a lack</w:t>
      </w:r>
      <w:r>
        <w:rPr>
          <w:sz w:val="24"/>
          <w:szCs w:val="24"/>
        </w:rPr>
        <w:t xml:space="preserve"> of real collaboration with the </w:t>
      </w:r>
      <w:r w:rsidRPr="00270C19">
        <w:rPr>
          <w:i/>
          <w:sz w:val="24"/>
          <w:szCs w:val="24"/>
        </w:rPr>
        <w:t>Securitate</w:t>
      </w:r>
      <w:r>
        <w:rPr>
          <w:sz w:val="24"/>
          <w:szCs w:val="24"/>
        </w:rPr>
        <w:t>.</w:t>
      </w:r>
      <w:r>
        <w:rPr>
          <w:rStyle w:val="EndnoteReference"/>
          <w:sz w:val="24"/>
          <w:szCs w:val="24"/>
        </w:rPr>
        <w:endnoteReference w:id="34"/>
      </w:r>
      <w:r>
        <w:rPr>
          <w:sz w:val="24"/>
          <w:szCs w:val="24"/>
        </w:rPr>
        <w:t xml:space="preserve"> In other words, the presence of a file does not automatically result in a positive collaboration determination.  The number of files collected in Romania led some to believe that file revelations would expose most of society as active collaborators, but that has not materialized. While collaboration determinations could still be subject to manipulation, the current use of the files by the Dossier Commission and the C.N.S.A.S. have included cross-checks, information safeguards, and contextualized understandings of collaboration. Moreover, the collaboration determinations mirror those used by other lustration programs in CEE.</w:t>
      </w:r>
    </w:p>
    <w:p w:rsidR="0064274E" w:rsidRPr="00F97B7D" w:rsidRDefault="0064274E" w:rsidP="00387D89">
      <w:pPr>
        <w:spacing w:after="0" w:line="480" w:lineRule="auto"/>
        <w:rPr>
          <w:sz w:val="24"/>
          <w:szCs w:val="24"/>
        </w:rPr>
      </w:pPr>
      <w:r w:rsidRPr="00BE76E4">
        <w:rPr>
          <w:b/>
          <w:i/>
          <w:sz w:val="24"/>
          <w:szCs w:val="24"/>
        </w:rPr>
        <w:tab/>
      </w:r>
      <w:r>
        <w:rPr>
          <w:b/>
          <w:i/>
          <w:sz w:val="24"/>
          <w:szCs w:val="24"/>
        </w:rPr>
        <w:t>Bulgaria: Scope of disclosures</w:t>
      </w:r>
    </w:p>
    <w:p w:rsidR="0064274E" w:rsidRPr="000A6827" w:rsidRDefault="0064274E" w:rsidP="006B5C99">
      <w:pPr>
        <w:spacing w:after="0" w:line="480" w:lineRule="auto"/>
        <w:rPr>
          <w:rFonts w:cs="Times New Roman"/>
          <w:sz w:val="24"/>
          <w:szCs w:val="24"/>
        </w:rPr>
      </w:pPr>
      <w:r w:rsidRPr="004E6D26">
        <w:rPr>
          <w:sz w:val="24"/>
          <w:szCs w:val="24"/>
        </w:rPr>
        <w:tab/>
        <w:t xml:space="preserve">Since its inception the </w:t>
      </w:r>
      <w:r>
        <w:rPr>
          <w:sz w:val="24"/>
          <w:szCs w:val="24"/>
        </w:rPr>
        <w:t xml:space="preserve">Dossier </w:t>
      </w:r>
      <w:r w:rsidRPr="004E6D26">
        <w:rPr>
          <w:sz w:val="24"/>
          <w:szCs w:val="24"/>
        </w:rPr>
        <w:t xml:space="preserve">Commission </w:t>
      </w:r>
      <w:r>
        <w:rPr>
          <w:sz w:val="24"/>
          <w:szCs w:val="24"/>
        </w:rPr>
        <w:t xml:space="preserve">in Bulgaria </w:t>
      </w:r>
      <w:r w:rsidRPr="004E6D26">
        <w:rPr>
          <w:sz w:val="24"/>
          <w:szCs w:val="24"/>
        </w:rPr>
        <w:t xml:space="preserve">reviewed </w:t>
      </w:r>
      <w:r>
        <w:rPr>
          <w:sz w:val="24"/>
          <w:szCs w:val="24"/>
        </w:rPr>
        <w:t>more than fifteen times as many files as all the previous commissions combined</w:t>
      </w:r>
      <w:r w:rsidRPr="004E6D26">
        <w:rPr>
          <w:rFonts w:cs="Times New Roman"/>
          <w:sz w:val="24"/>
          <w:szCs w:val="24"/>
        </w:rPr>
        <w:t xml:space="preserve">; from 5 April 2007- 1 December 2011 112,445 files were reviewed. The Commission reports that of those </w:t>
      </w:r>
      <w:r>
        <w:rPr>
          <w:rFonts w:cs="Times New Roman"/>
          <w:sz w:val="24"/>
          <w:szCs w:val="24"/>
        </w:rPr>
        <w:t xml:space="preserve">files verified by December </w:t>
      </w:r>
      <w:r>
        <w:rPr>
          <w:rFonts w:cs="Times New Roman"/>
          <w:sz w:val="24"/>
          <w:szCs w:val="24"/>
        </w:rPr>
        <w:lastRenderedPageBreak/>
        <w:t>2011, it</w:t>
      </w:r>
      <w:r w:rsidRPr="00A21DD0">
        <w:rPr>
          <w:rFonts w:cs="Times New Roman"/>
          <w:sz w:val="24"/>
          <w:szCs w:val="24"/>
        </w:rPr>
        <w:t xml:space="preserve"> </w:t>
      </w:r>
      <w:r>
        <w:rPr>
          <w:rFonts w:cs="Times New Roman"/>
          <w:sz w:val="24"/>
          <w:szCs w:val="24"/>
        </w:rPr>
        <w:t xml:space="preserve">identified 6,377 </w:t>
      </w:r>
      <w:r w:rsidRPr="00A21DD0">
        <w:rPr>
          <w:rFonts w:cs="Times New Roman"/>
          <w:sz w:val="24"/>
          <w:szCs w:val="24"/>
        </w:rPr>
        <w:t>informers</w:t>
      </w:r>
      <w:r>
        <w:rPr>
          <w:rFonts w:cs="Times New Roman"/>
          <w:sz w:val="24"/>
          <w:szCs w:val="24"/>
        </w:rPr>
        <w:t xml:space="preserve"> </w:t>
      </w:r>
      <w:r w:rsidRPr="00A21DD0">
        <w:rPr>
          <w:rFonts w:cs="Times New Roman"/>
          <w:sz w:val="24"/>
          <w:szCs w:val="24"/>
        </w:rPr>
        <w:t xml:space="preserve">and released information </w:t>
      </w:r>
      <w:r>
        <w:rPr>
          <w:rFonts w:cs="Times New Roman"/>
          <w:sz w:val="24"/>
          <w:szCs w:val="24"/>
        </w:rPr>
        <w:t>publicly</w:t>
      </w:r>
      <w:r w:rsidRPr="00A21DD0">
        <w:rPr>
          <w:rFonts w:cs="Times New Roman"/>
          <w:sz w:val="24"/>
          <w:szCs w:val="24"/>
        </w:rPr>
        <w:t xml:space="preserve"> on </w:t>
      </w:r>
      <w:r w:rsidRPr="00A21DD0">
        <w:rPr>
          <w:rFonts w:eastAsia="Times New Roman" w:cs="Times New Roman"/>
          <w:color w:val="333333"/>
          <w:sz w:val="24"/>
          <w:szCs w:val="24"/>
        </w:rPr>
        <w:t>5,782 files</w:t>
      </w:r>
      <w:r>
        <w:rPr>
          <w:rFonts w:eastAsia="Times New Roman" w:cs="Times New Roman"/>
          <w:color w:val="333333"/>
          <w:sz w:val="24"/>
          <w:szCs w:val="24"/>
        </w:rPr>
        <w:t xml:space="preserve"> (Sofia Echo 2012, March 8)</w:t>
      </w:r>
      <w:r w:rsidRPr="00A21DD0">
        <w:rPr>
          <w:rFonts w:cs="Times New Roman"/>
          <w:sz w:val="24"/>
          <w:szCs w:val="24"/>
        </w:rPr>
        <w:t>.</w:t>
      </w:r>
      <w:r w:rsidRPr="00A21DD0">
        <w:rPr>
          <w:rStyle w:val="EndnoteReference"/>
          <w:rFonts w:cs="Times New Roman"/>
          <w:sz w:val="24"/>
          <w:szCs w:val="24"/>
        </w:rPr>
        <w:endnoteReference w:id="35"/>
      </w:r>
      <w:r>
        <w:rPr>
          <w:rFonts w:cs="Times New Roman"/>
          <w:sz w:val="24"/>
          <w:szCs w:val="24"/>
        </w:rPr>
        <w:t xml:space="preserve"> </w:t>
      </w:r>
      <w:r>
        <w:rPr>
          <w:sz w:val="24"/>
          <w:szCs w:val="24"/>
        </w:rPr>
        <w:t xml:space="preserve">The verification process encompasses </w:t>
      </w:r>
      <w:r w:rsidRPr="00E7143F">
        <w:rPr>
          <w:sz w:val="24"/>
          <w:szCs w:val="24"/>
        </w:rPr>
        <w:t xml:space="preserve">national and local </w:t>
      </w:r>
      <w:r>
        <w:rPr>
          <w:sz w:val="24"/>
          <w:szCs w:val="24"/>
        </w:rPr>
        <w:t>level public office holders, and semi-public</w:t>
      </w:r>
      <w:r w:rsidRPr="00E7143F">
        <w:rPr>
          <w:sz w:val="24"/>
          <w:szCs w:val="24"/>
        </w:rPr>
        <w:t xml:space="preserve"> </w:t>
      </w:r>
      <w:r>
        <w:rPr>
          <w:sz w:val="24"/>
          <w:szCs w:val="24"/>
        </w:rPr>
        <w:t>and social positions of power, such as the media, the clergy, unions, and cultural figures.</w:t>
      </w:r>
      <w:r>
        <w:rPr>
          <w:rFonts w:cs="Times New Roman"/>
          <w:sz w:val="24"/>
          <w:szCs w:val="24"/>
        </w:rPr>
        <w:t xml:space="preserve"> </w:t>
      </w:r>
      <w:r>
        <w:rPr>
          <w:b/>
          <w:sz w:val="24"/>
          <w:szCs w:val="24"/>
        </w:rPr>
        <w:t>-Insert table 1 --</w:t>
      </w:r>
    </w:p>
    <w:p w:rsidR="0064274E" w:rsidRDefault="0064274E" w:rsidP="002114AF">
      <w:pPr>
        <w:spacing w:after="0" w:line="480" w:lineRule="auto"/>
        <w:rPr>
          <w:rFonts w:cs="Times New Roman"/>
          <w:sz w:val="24"/>
          <w:szCs w:val="24"/>
        </w:rPr>
      </w:pPr>
      <w:r>
        <w:rPr>
          <w:sz w:val="24"/>
          <w:szCs w:val="24"/>
        </w:rPr>
        <w:tab/>
      </w:r>
      <w:r w:rsidRPr="00E7143F">
        <w:rPr>
          <w:sz w:val="24"/>
          <w:szCs w:val="24"/>
        </w:rPr>
        <w:t xml:space="preserve">The first round of verifications in 2007 </w:t>
      </w:r>
      <w:r>
        <w:rPr>
          <w:sz w:val="24"/>
          <w:szCs w:val="24"/>
        </w:rPr>
        <w:t>focused on higher ranking public officials, including</w:t>
      </w:r>
      <w:r w:rsidRPr="00E7143F">
        <w:rPr>
          <w:sz w:val="24"/>
          <w:szCs w:val="24"/>
        </w:rPr>
        <w:t xml:space="preserve"> the prime minister, deputy prime ministers, lower level ministers, and deputy ministers.  673 peo</w:t>
      </w:r>
      <w:r w:rsidRPr="004211A9">
        <w:rPr>
          <w:sz w:val="24"/>
          <w:szCs w:val="24"/>
        </w:rPr>
        <w:t>ple were ex</w:t>
      </w:r>
      <w:r>
        <w:rPr>
          <w:sz w:val="24"/>
          <w:szCs w:val="24"/>
        </w:rPr>
        <w:t>amined at the ministerial level</w:t>
      </w:r>
      <w:r w:rsidRPr="004211A9">
        <w:rPr>
          <w:sz w:val="24"/>
          <w:szCs w:val="24"/>
        </w:rPr>
        <w:t xml:space="preserve"> and collaboration was annou</w:t>
      </w:r>
      <w:r>
        <w:rPr>
          <w:sz w:val="24"/>
          <w:szCs w:val="24"/>
        </w:rPr>
        <w:t>nced in the case of 117 people--</w:t>
      </w:r>
      <w:r w:rsidRPr="004211A9">
        <w:rPr>
          <w:sz w:val="24"/>
          <w:szCs w:val="24"/>
        </w:rPr>
        <w:t>roughly 17% of ministers.  In the National Assembly, 1,794 MPs were examined and collaboration was announced in the case of 140 people or 8%. In the Presidential administration, 105 employees were examined resulting in verified collaboration of 21 people, or 20% of the presidential administration. At the local level, registered mayor</w:t>
      </w:r>
      <w:r>
        <w:rPr>
          <w:sz w:val="24"/>
          <w:szCs w:val="24"/>
        </w:rPr>
        <w:t>al</w:t>
      </w:r>
      <w:r w:rsidRPr="004211A9">
        <w:rPr>
          <w:sz w:val="24"/>
          <w:szCs w:val="24"/>
        </w:rPr>
        <w:t xml:space="preserve"> and municipal councilor candidates for local elections were reviewed with 3% of individuals found to have collaborated</w:t>
      </w:r>
      <w:r>
        <w:rPr>
          <w:sz w:val="24"/>
          <w:szCs w:val="24"/>
        </w:rPr>
        <w:t>,</w:t>
      </w:r>
      <w:r w:rsidRPr="004211A9">
        <w:rPr>
          <w:sz w:val="24"/>
          <w:szCs w:val="24"/>
        </w:rPr>
        <w:t xml:space="preserve"> or</w:t>
      </w:r>
      <w:r>
        <w:rPr>
          <w:sz w:val="24"/>
          <w:szCs w:val="24"/>
        </w:rPr>
        <w:t xml:space="preserve"> roughly</w:t>
      </w:r>
      <w:r w:rsidRPr="004211A9">
        <w:rPr>
          <w:sz w:val="24"/>
          <w:szCs w:val="24"/>
        </w:rPr>
        <w:t xml:space="preserve"> 1, 360 people.</w:t>
      </w:r>
      <w:r>
        <w:rPr>
          <w:rStyle w:val="EndnoteReference"/>
          <w:sz w:val="24"/>
          <w:szCs w:val="24"/>
        </w:rPr>
        <w:endnoteReference w:id="36"/>
      </w:r>
      <w:r>
        <w:rPr>
          <w:sz w:val="24"/>
          <w:szCs w:val="24"/>
        </w:rPr>
        <w:t xml:space="preserve">  During the six month period from July-December 2012 the scope of reviews was similar to previous periods. The Commission reviewed 20, 274 Bulgarian citizens who registered in the election, finding 661 persons or 3% of candidates had a security service background.  Additionally, the Commission reviewed 5, 303 persons holding public office or in charge of public activities </w:t>
      </w:r>
      <w:r w:rsidRPr="00A21DD0">
        <w:rPr>
          <w:rFonts w:cs="Times New Roman"/>
          <w:sz w:val="24"/>
          <w:szCs w:val="24"/>
        </w:rPr>
        <w:t xml:space="preserve">and of those 161 had </w:t>
      </w:r>
      <w:r>
        <w:rPr>
          <w:rFonts w:cs="Times New Roman"/>
          <w:sz w:val="24"/>
          <w:szCs w:val="24"/>
        </w:rPr>
        <w:t>KDS affiliations or backgrounds--</w:t>
      </w:r>
      <w:r w:rsidRPr="00A21DD0">
        <w:rPr>
          <w:rFonts w:cs="Times New Roman"/>
          <w:sz w:val="24"/>
          <w:szCs w:val="24"/>
        </w:rPr>
        <w:t xml:space="preserve"> constituting approximately 3% of public office holders.</w:t>
      </w:r>
      <w:r w:rsidRPr="00A21DD0">
        <w:rPr>
          <w:rStyle w:val="EndnoteReference"/>
          <w:rFonts w:cs="Times New Roman"/>
          <w:sz w:val="24"/>
          <w:szCs w:val="24"/>
        </w:rPr>
        <w:endnoteReference w:id="37"/>
      </w:r>
      <w:r w:rsidRPr="00A21DD0">
        <w:rPr>
          <w:rFonts w:cs="Times New Roman"/>
          <w:sz w:val="24"/>
          <w:szCs w:val="24"/>
        </w:rPr>
        <w:t xml:space="preserve"> </w:t>
      </w:r>
    </w:p>
    <w:p w:rsidR="0064274E" w:rsidRDefault="0064274E" w:rsidP="002114AF">
      <w:pPr>
        <w:spacing w:after="0" w:line="480" w:lineRule="auto"/>
        <w:rPr>
          <w:rFonts w:ascii="Arial" w:eastAsia="Times New Roman" w:hAnsi="Arial" w:cs="Arial"/>
          <w:b/>
          <w:color w:val="333333"/>
        </w:rPr>
      </w:pPr>
      <w:r>
        <w:rPr>
          <w:rFonts w:cs="Times New Roman"/>
          <w:sz w:val="24"/>
          <w:szCs w:val="24"/>
        </w:rPr>
        <w:tab/>
      </w:r>
      <w:r>
        <w:rPr>
          <w:sz w:val="24"/>
          <w:szCs w:val="24"/>
        </w:rPr>
        <w:t xml:space="preserve">The file reviews are available on the Dossier Commissions’ website, facilitating public access to information.  </w:t>
      </w:r>
      <w:r>
        <w:rPr>
          <w:rFonts w:cs="Times New Roman"/>
          <w:sz w:val="24"/>
          <w:szCs w:val="24"/>
        </w:rPr>
        <w:t xml:space="preserve">Tables 2 compares the number of files reviewed, publicized and the rate of collaboration.  As Table 2 demonstrates, 80-90% of cases of collaboration were publicized, constituting a concerted effort by the Commission to be transparent.  </w:t>
      </w:r>
      <w:r w:rsidRPr="00A21DD0">
        <w:rPr>
          <w:rFonts w:cs="Times New Roman"/>
          <w:sz w:val="24"/>
          <w:szCs w:val="24"/>
        </w:rPr>
        <w:t xml:space="preserve">In general the Commission reports a </w:t>
      </w:r>
      <w:r w:rsidRPr="00A21DD0">
        <w:rPr>
          <w:rFonts w:eastAsia="Times New Roman" w:cs="Times New Roman"/>
          <w:sz w:val="24"/>
          <w:szCs w:val="24"/>
        </w:rPr>
        <w:t xml:space="preserve">10% rate of complicity found among political </w:t>
      </w:r>
      <w:r>
        <w:rPr>
          <w:rFonts w:eastAsia="Times New Roman" w:cs="Times New Roman"/>
          <w:sz w:val="24"/>
          <w:szCs w:val="24"/>
        </w:rPr>
        <w:t>appointees and office holders</w:t>
      </w:r>
      <w:r w:rsidRPr="00A21DD0">
        <w:rPr>
          <w:rFonts w:eastAsia="Times New Roman" w:cs="Times New Roman"/>
          <w:sz w:val="24"/>
          <w:szCs w:val="24"/>
        </w:rPr>
        <w:t xml:space="preserve">, which is </w:t>
      </w:r>
      <w:r w:rsidRPr="00A21DD0">
        <w:rPr>
          <w:rFonts w:eastAsia="Times New Roman" w:cs="Times New Roman"/>
          <w:sz w:val="24"/>
          <w:szCs w:val="24"/>
        </w:rPr>
        <w:lastRenderedPageBreak/>
        <w:t xml:space="preserve">disproportionate to the 1% of the population that were </w:t>
      </w:r>
      <w:r>
        <w:rPr>
          <w:rFonts w:eastAsia="Times New Roman" w:cs="Times New Roman"/>
          <w:sz w:val="24"/>
          <w:szCs w:val="24"/>
        </w:rPr>
        <w:t xml:space="preserve">estimated to be official </w:t>
      </w:r>
      <w:r w:rsidRPr="00A21DD0">
        <w:rPr>
          <w:rFonts w:eastAsia="Times New Roman" w:cs="Times New Roman"/>
          <w:sz w:val="24"/>
          <w:szCs w:val="24"/>
        </w:rPr>
        <w:t>informers.</w:t>
      </w:r>
      <w:r w:rsidRPr="00A21DD0">
        <w:rPr>
          <w:rStyle w:val="EndnoteReference"/>
          <w:rFonts w:eastAsia="Times New Roman" w:cs="Times New Roman"/>
          <w:sz w:val="24"/>
          <w:szCs w:val="24"/>
        </w:rPr>
        <w:endnoteReference w:id="38"/>
      </w:r>
      <w:r w:rsidRPr="00A21DD0">
        <w:rPr>
          <w:rFonts w:eastAsia="Times New Roman" w:cs="Times New Roman"/>
          <w:sz w:val="24"/>
          <w:szCs w:val="24"/>
        </w:rPr>
        <w:t xml:space="preserve">  This suggests </w:t>
      </w:r>
      <w:r>
        <w:rPr>
          <w:rFonts w:eastAsia="Times New Roman" w:cs="Times New Roman"/>
          <w:sz w:val="24"/>
          <w:szCs w:val="24"/>
        </w:rPr>
        <w:t xml:space="preserve">that individuals who collaborated with or worked for the KDS continue to enjoy disproportionate privileges in the political system. </w:t>
      </w:r>
      <w:r>
        <w:rPr>
          <w:rFonts w:eastAsia="Times New Roman" w:cs="Times New Roman"/>
          <w:b/>
          <w:sz w:val="24"/>
          <w:szCs w:val="24"/>
        </w:rPr>
        <w:t>–Insert table</w:t>
      </w:r>
      <w:r w:rsidRPr="00644025">
        <w:rPr>
          <w:rFonts w:eastAsia="Times New Roman" w:cs="Times New Roman"/>
          <w:b/>
          <w:sz w:val="24"/>
          <w:szCs w:val="24"/>
        </w:rPr>
        <w:t xml:space="preserve"> 2--</w:t>
      </w:r>
    </w:p>
    <w:p w:rsidR="0064274E" w:rsidRDefault="0064274E" w:rsidP="002D49EF">
      <w:pPr>
        <w:spacing w:after="0" w:line="480" w:lineRule="auto"/>
        <w:rPr>
          <w:sz w:val="24"/>
          <w:szCs w:val="24"/>
        </w:rPr>
      </w:pPr>
      <w:r>
        <w:rPr>
          <w:sz w:val="24"/>
          <w:szCs w:val="24"/>
        </w:rPr>
        <w:tab/>
        <w:t>The scope of the vetting covers a broad range of institutions, across at least 300 agencies. By the end of 2012, more than 150 agencies established regular verification relationships with the Commission, meaning they had on-going Commission verification of existing and new personnel.</w:t>
      </w:r>
      <w:r>
        <w:rPr>
          <w:rStyle w:val="EndnoteReference"/>
          <w:sz w:val="24"/>
          <w:szCs w:val="24"/>
        </w:rPr>
        <w:endnoteReference w:id="39"/>
      </w:r>
      <w:r>
        <w:rPr>
          <w:sz w:val="24"/>
          <w:szCs w:val="24"/>
        </w:rPr>
        <w:t xml:space="preserve">  Even employees in sub-units in organizations are vetted, such as </w:t>
      </w:r>
      <w:r w:rsidRPr="00122621">
        <w:rPr>
          <w:sz w:val="24"/>
          <w:szCs w:val="24"/>
        </w:rPr>
        <w:t>the</w:t>
      </w:r>
      <w:r>
        <w:rPr>
          <w:sz w:val="24"/>
          <w:szCs w:val="24"/>
        </w:rPr>
        <w:t xml:space="preserve"> State</w:t>
      </w:r>
      <w:r w:rsidRPr="00122621">
        <w:rPr>
          <w:sz w:val="24"/>
          <w:szCs w:val="24"/>
        </w:rPr>
        <w:t xml:space="preserve"> Agency for Child Protection, the State Agency for Youth and Sport</w:t>
      </w:r>
      <w:r>
        <w:rPr>
          <w:sz w:val="24"/>
          <w:szCs w:val="24"/>
        </w:rPr>
        <w:t>s</w:t>
      </w:r>
      <w:r w:rsidRPr="00122621">
        <w:rPr>
          <w:sz w:val="24"/>
          <w:szCs w:val="24"/>
        </w:rPr>
        <w:t xml:space="preserve">, </w:t>
      </w:r>
      <w:r>
        <w:rPr>
          <w:sz w:val="24"/>
          <w:szCs w:val="24"/>
        </w:rPr>
        <w:t xml:space="preserve">the </w:t>
      </w:r>
      <w:r w:rsidRPr="00122621">
        <w:rPr>
          <w:sz w:val="24"/>
          <w:szCs w:val="24"/>
        </w:rPr>
        <w:t xml:space="preserve">Commission on Commodity Exchanges and Wholesale Markets, </w:t>
      </w:r>
      <w:r>
        <w:rPr>
          <w:sz w:val="24"/>
          <w:szCs w:val="24"/>
        </w:rPr>
        <w:t xml:space="preserve">and the </w:t>
      </w:r>
      <w:r w:rsidRPr="00122621">
        <w:rPr>
          <w:sz w:val="24"/>
          <w:szCs w:val="24"/>
        </w:rPr>
        <w:t>Water and Gas and Electricity companies</w:t>
      </w:r>
      <w:r w:rsidRPr="00122621">
        <w:rPr>
          <w:i/>
          <w:sz w:val="24"/>
          <w:szCs w:val="24"/>
        </w:rPr>
        <w:t>.</w:t>
      </w:r>
      <w:r w:rsidRPr="00122621">
        <w:rPr>
          <w:rStyle w:val="EndnoteReference"/>
          <w:sz w:val="24"/>
          <w:szCs w:val="24"/>
        </w:rPr>
        <w:endnoteReference w:id="40"/>
      </w:r>
      <w:r w:rsidRPr="00122621">
        <w:rPr>
          <w:sz w:val="24"/>
          <w:szCs w:val="24"/>
        </w:rPr>
        <w:t xml:space="preserve"> </w:t>
      </w:r>
      <w:r w:rsidRPr="004211A9">
        <w:rPr>
          <w:sz w:val="24"/>
          <w:szCs w:val="24"/>
        </w:rPr>
        <w:t xml:space="preserve"> </w:t>
      </w:r>
      <w:r>
        <w:rPr>
          <w:sz w:val="24"/>
          <w:szCs w:val="24"/>
        </w:rPr>
        <w:t>This type of regularized employment vetting is a significant shift in approach to lustration.</w:t>
      </w:r>
    </w:p>
    <w:p w:rsidR="0064274E" w:rsidRDefault="0064274E" w:rsidP="002D49EF">
      <w:pPr>
        <w:spacing w:after="0" w:line="480" w:lineRule="auto"/>
        <w:rPr>
          <w:sz w:val="24"/>
          <w:szCs w:val="24"/>
        </w:rPr>
      </w:pPr>
      <w:r>
        <w:rPr>
          <w:sz w:val="24"/>
          <w:szCs w:val="24"/>
        </w:rPr>
        <w:tab/>
      </w:r>
      <w:r w:rsidRPr="00194B79">
        <w:rPr>
          <w:sz w:val="24"/>
          <w:szCs w:val="24"/>
        </w:rPr>
        <w:t xml:space="preserve">There remain limitations on the vetting process with only those public office holders appointed after 2006 eligible for </w:t>
      </w:r>
      <w:r>
        <w:rPr>
          <w:sz w:val="24"/>
          <w:szCs w:val="24"/>
        </w:rPr>
        <w:t>disclosure</w:t>
      </w:r>
      <w:r w:rsidRPr="00194B79">
        <w:rPr>
          <w:sz w:val="24"/>
          <w:szCs w:val="24"/>
        </w:rPr>
        <w:t>, which leaves a vast number of political officials ineligible for vetting.</w:t>
      </w:r>
      <w:r w:rsidRPr="00194B79">
        <w:rPr>
          <w:rStyle w:val="EndnoteReference"/>
          <w:sz w:val="24"/>
          <w:szCs w:val="24"/>
        </w:rPr>
        <w:endnoteReference w:id="41"/>
      </w:r>
      <w:r w:rsidRPr="00194B79">
        <w:rPr>
          <w:sz w:val="24"/>
          <w:szCs w:val="24"/>
        </w:rPr>
        <w:t xml:space="preserve"> </w:t>
      </w:r>
      <w:r>
        <w:rPr>
          <w:sz w:val="24"/>
          <w:szCs w:val="24"/>
        </w:rPr>
        <w:t xml:space="preserve"> </w:t>
      </w:r>
      <w:r>
        <w:rPr>
          <w:rFonts w:eastAsia="Times New Roman"/>
          <w:sz w:val="24"/>
          <w:szCs w:val="24"/>
        </w:rPr>
        <w:t xml:space="preserve">Nonetheless, </w:t>
      </w:r>
      <w:r>
        <w:rPr>
          <w:sz w:val="24"/>
          <w:szCs w:val="24"/>
        </w:rPr>
        <w:t>b</w:t>
      </w:r>
      <w:r w:rsidRPr="004211A9">
        <w:rPr>
          <w:sz w:val="24"/>
          <w:szCs w:val="24"/>
        </w:rPr>
        <w:t>oth the numbers of files reviewed as well as the scope of positions</w:t>
      </w:r>
      <w:r>
        <w:rPr>
          <w:sz w:val="24"/>
          <w:szCs w:val="24"/>
        </w:rPr>
        <w:t xml:space="preserve"> vetted reveal</w:t>
      </w:r>
      <w:r w:rsidRPr="004211A9">
        <w:rPr>
          <w:sz w:val="24"/>
          <w:szCs w:val="24"/>
        </w:rPr>
        <w:t xml:space="preserve"> that the public disclosures in </w:t>
      </w:r>
      <w:r>
        <w:rPr>
          <w:sz w:val="24"/>
          <w:szCs w:val="24"/>
        </w:rPr>
        <w:t xml:space="preserve">Bulgaria constitute a systematic attempt to lustrate </w:t>
      </w:r>
      <w:r w:rsidRPr="00C91E72">
        <w:rPr>
          <w:sz w:val="24"/>
          <w:szCs w:val="24"/>
        </w:rPr>
        <w:t xml:space="preserve">individuals in public and semi-public positions of trust and perceived importance. </w:t>
      </w:r>
      <w:r>
        <w:rPr>
          <w:sz w:val="24"/>
          <w:szCs w:val="24"/>
        </w:rPr>
        <w:t xml:space="preserve"> They also demonstrate what people have assumed but been unable to verify; namely, the continued penetration of many former collaborators in positions of power.</w:t>
      </w:r>
    </w:p>
    <w:p w:rsidR="0064274E" w:rsidRPr="00C817D3" w:rsidRDefault="0064274E" w:rsidP="00387D89">
      <w:pPr>
        <w:spacing w:after="0" w:line="480" w:lineRule="auto"/>
        <w:rPr>
          <w:rFonts w:cs="Times New Roman"/>
          <w:b/>
          <w:i/>
          <w:sz w:val="24"/>
          <w:szCs w:val="24"/>
        </w:rPr>
      </w:pPr>
      <w:r>
        <w:rPr>
          <w:b/>
          <w:color w:val="000000"/>
          <w:sz w:val="24"/>
          <w:szCs w:val="24"/>
        </w:rPr>
        <w:tab/>
      </w:r>
      <w:r w:rsidRPr="00C817D3">
        <w:rPr>
          <w:b/>
          <w:i/>
          <w:color w:val="000000"/>
          <w:sz w:val="24"/>
          <w:szCs w:val="24"/>
        </w:rPr>
        <w:t>Romania</w:t>
      </w:r>
      <w:r>
        <w:rPr>
          <w:b/>
          <w:i/>
          <w:color w:val="000000"/>
          <w:sz w:val="24"/>
          <w:szCs w:val="24"/>
        </w:rPr>
        <w:t>: Scope of public disclosures</w:t>
      </w:r>
    </w:p>
    <w:p w:rsidR="0064274E" w:rsidRPr="006C262F" w:rsidRDefault="0064274E" w:rsidP="002A3196">
      <w:pPr>
        <w:spacing w:after="0" w:line="480" w:lineRule="auto"/>
        <w:rPr>
          <w:rFonts w:cs="Times New Roman"/>
          <w:color w:val="000000"/>
          <w:sz w:val="24"/>
          <w:szCs w:val="24"/>
        </w:rPr>
      </w:pPr>
      <w:r>
        <w:rPr>
          <w:rFonts w:eastAsia="Times New Roman" w:cs="Times New Roman"/>
          <w:color w:val="000000"/>
          <w:sz w:val="24"/>
          <w:szCs w:val="24"/>
        </w:rPr>
        <w:tab/>
      </w:r>
      <w:r>
        <w:rPr>
          <w:rFonts w:cs="Times New Roman"/>
          <w:color w:val="000000"/>
          <w:sz w:val="24"/>
          <w:szCs w:val="24"/>
        </w:rPr>
        <w:t>After</w:t>
      </w:r>
      <w:r w:rsidRPr="006C262F">
        <w:rPr>
          <w:rFonts w:cs="Times New Roman"/>
          <w:color w:val="000000"/>
          <w:sz w:val="24"/>
          <w:szCs w:val="24"/>
        </w:rPr>
        <w:t xml:space="preserve"> the </w:t>
      </w:r>
      <w:r>
        <w:rPr>
          <w:rFonts w:cs="Times New Roman"/>
          <w:color w:val="000000"/>
          <w:sz w:val="24"/>
          <w:szCs w:val="24"/>
        </w:rPr>
        <w:t xml:space="preserve">2008 ruling the C.N.S.A.S. </w:t>
      </w:r>
      <w:r w:rsidRPr="006C262F">
        <w:rPr>
          <w:rFonts w:cs="Times New Roman"/>
          <w:color w:val="000000"/>
          <w:sz w:val="24"/>
          <w:szCs w:val="24"/>
        </w:rPr>
        <w:t xml:space="preserve">continued its role as file repository and </w:t>
      </w:r>
      <w:r w:rsidR="007B61B4">
        <w:rPr>
          <w:rFonts w:cs="Times New Roman"/>
          <w:color w:val="000000"/>
          <w:sz w:val="24"/>
          <w:szCs w:val="24"/>
        </w:rPr>
        <w:t xml:space="preserve">an informal </w:t>
      </w:r>
      <w:r w:rsidRPr="006C262F">
        <w:rPr>
          <w:rFonts w:cs="Times New Roman"/>
          <w:color w:val="000000"/>
          <w:sz w:val="24"/>
          <w:szCs w:val="24"/>
        </w:rPr>
        <w:t xml:space="preserve">lustration agency, responsible for screening the background of public and semi-public positions and publicizing the information. </w:t>
      </w:r>
      <w:r>
        <w:rPr>
          <w:rFonts w:cs="Times New Roman"/>
          <w:color w:val="000000"/>
          <w:sz w:val="24"/>
          <w:szCs w:val="24"/>
        </w:rPr>
        <w:t>The C.N.S.A.S.</w:t>
      </w:r>
      <w:r w:rsidRPr="006C262F">
        <w:rPr>
          <w:rFonts w:cs="Times New Roman"/>
          <w:color w:val="000000"/>
          <w:sz w:val="24"/>
          <w:szCs w:val="24"/>
        </w:rPr>
        <w:t xml:space="preserve">’s new operating authority under Law 221/2009 changed the </w:t>
      </w:r>
      <w:r>
        <w:rPr>
          <w:rFonts w:cs="Times New Roman"/>
          <w:color w:val="000000"/>
          <w:sz w:val="24"/>
          <w:szCs w:val="24"/>
        </w:rPr>
        <w:t xml:space="preserve">screening </w:t>
      </w:r>
      <w:r w:rsidRPr="006C262F">
        <w:rPr>
          <w:rFonts w:cs="Times New Roman"/>
          <w:color w:val="000000"/>
          <w:sz w:val="24"/>
          <w:szCs w:val="24"/>
        </w:rPr>
        <w:t>rules</w:t>
      </w:r>
      <w:r>
        <w:rPr>
          <w:rFonts w:cs="Times New Roman"/>
          <w:color w:val="000000"/>
          <w:sz w:val="24"/>
          <w:szCs w:val="24"/>
        </w:rPr>
        <w:t xml:space="preserve">, </w:t>
      </w:r>
      <w:r w:rsidRPr="006C262F">
        <w:rPr>
          <w:rFonts w:cs="Times New Roman"/>
          <w:color w:val="000000"/>
          <w:sz w:val="24"/>
          <w:szCs w:val="24"/>
        </w:rPr>
        <w:t>prompt</w:t>
      </w:r>
      <w:r>
        <w:rPr>
          <w:rFonts w:cs="Times New Roman"/>
          <w:color w:val="000000"/>
          <w:sz w:val="24"/>
          <w:szCs w:val="24"/>
        </w:rPr>
        <w:t>ing</w:t>
      </w:r>
      <w:r w:rsidRPr="006C262F">
        <w:rPr>
          <w:rFonts w:cs="Times New Roman"/>
          <w:color w:val="000000"/>
          <w:sz w:val="24"/>
          <w:szCs w:val="24"/>
        </w:rPr>
        <w:t xml:space="preserve"> a significant increase in requests for employee verification. </w:t>
      </w:r>
      <w:r>
        <w:rPr>
          <w:rFonts w:cs="Times New Roman"/>
          <w:color w:val="000000"/>
          <w:sz w:val="24"/>
          <w:szCs w:val="24"/>
        </w:rPr>
        <w:t xml:space="preserve"> Ironically, f</w:t>
      </w:r>
      <w:r w:rsidRPr="006C262F">
        <w:rPr>
          <w:rFonts w:eastAsia="Times New Roman" w:cs="Times New Roman"/>
          <w:color w:val="000000"/>
          <w:sz w:val="24"/>
          <w:szCs w:val="24"/>
        </w:rPr>
        <w:t>ocusing only on the</w:t>
      </w:r>
      <w:r>
        <w:rPr>
          <w:rFonts w:cs="Times New Roman"/>
          <w:color w:val="000000"/>
          <w:sz w:val="24"/>
          <w:szCs w:val="24"/>
        </w:rPr>
        <w:t xml:space="preserve"> public disclosure function</w:t>
      </w:r>
      <w:r w:rsidRPr="006C262F">
        <w:rPr>
          <w:rFonts w:cs="Times New Roman"/>
          <w:color w:val="000000"/>
          <w:sz w:val="24"/>
          <w:szCs w:val="24"/>
        </w:rPr>
        <w:t xml:space="preserve"> </w:t>
      </w:r>
      <w:r>
        <w:rPr>
          <w:rFonts w:cs="Times New Roman"/>
          <w:color w:val="000000"/>
          <w:sz w:val="24"/>
          <w:szCs w:val="24"/>
        </w:rPr>
        <w:t>the C.N.S.A.S.</w:t>
      </w:r>
      <w:r w:rsidRPr="006C262F">
        <w:rPr>
          <w:rFonts w:cs="Times New Roman"/>
          <w:color w:val="000000"/>
          <w:sz w:val="24"/>
          <w:szCs w:val="24"/>
        </w:rPr>
        <w:t xml:space="preserve"> </w:t>
      </w:r>
      <w:r>
        <w:rPr>
          <w:rFonts w:cs="Times New Roman"/>
          <w:color w:val="000000"/>
          <w:sz w:val="24"/>
          <w:szCs w:val="24"/>
        </w:rPr>
        <w:t>screened</w:t>
      </w:r>
      <w:r w:rsidRPr="006C262F">
        <w:rPr>
          <w:rFonts w:cs="Times New Roman"/>
          <w:color w:val="000000"/>
          <w:sz w:val="24"/>
          <w:szCs w:val="24"/>
        </w:rPr>
        <w:t xml:space="preserve"> </w:t>
      </w:r>
      <w:r w:rsidRPr="006C262F">
        <w:rPr>
          <w:rFonts w:cs="Times New Roman"/>
          <w:color w:val="000000"/>
          <w:sz w:val="24"/>
          <w:szCs w:val="24"/>
        </w:rPr>
        <w:lastRenderedPageBreak/>
        <w:t xml:space="preserve">more individuals </w:t>
      </w:r>
      <w:r>
        <w:rPr>
          <w:rFonts w:cs="Times New Roman"/>
          <w:color w:val="000000"/>
          <w:sz w:val="24"/>
          <w:szCs w:val="24"/>
        </w:rPr>
        <w:t>than before the legal change, despite the fact that the ruling was designed to strip the C.N.S.A.S. of lustration authority.</w:t>
      </w:r>
      <w:r w:rsidRPr="006C262F">
        <w:rPr>
          <w:rFonts w:cs="Times New Roman"/>
          <w:color w:val="000000"/>
          <w:sz w:val="24"/>
          <w:szCs w:val="24"/>
        </w:rPr>
        <w:t xml:space="preserve">  Between 2009-2010, there was a 455% increase in requests for </w:t>
      </w:r>
      <w:r>
        <w:rPr>
          <w:rFonts w:cs="Times New Roman"/>
          <w:color w:val="000000"/>
          <w:sz w:val="24"/>
          <w:szCs w:val="24"/>
        </w:rPr>
        <w:t xml:space="preserve">file verification, </w:t>
      </w:r>
      <w:r w:rsidRPr="006C262F">
        <w:rPr>
          <w:rFonts w:cs="Times New Roman"/>
          <w:color w:val="000000"/>
          <w:sz w:val="24"/>
          <w:szCs w:val="24"/>
        </w:rPr>
        <w:t>with</w:t>
      </w:r>
      <w:r>
        <w:rPr>
          <w:rFonts w:cs="Times New Roman"/>
          <w:color w:val="000000"/>
          <w:sz w:val="24"/>
          <w:szCs w:val="24"/>
        </w:rPr>
        <w:t xml:space="preserve"> almost 40,000</w:t>
      </w:r>
      <w:r w:rsidRPr="006C262F">
        <w:rPr>
          <w:rFonts w:cs="Times New Roman"/>
          <w:color w:val="000000"/>
          <w:sz w:val="24"/>
          <w:szCs w:val="24"/>
        </w:rPr>
        <w:t xml:space="preserve"> requests submitted to </w:t>
      </w:r>
      <w:r>
        <w:rPr>
          <w:rFonts w:cs="Times New Roman"/>
          <w:color w:val="000000"/>
          <w:sz w:val="24"/>
          <w:szCs w:val="24"/>
        </w:rPr>
        <w:t>the C.N.S.A.S.</w:t>
      </w:r>
      <w:r w:rsidRPr="006C262F">
        <w:rPr>
          <w:rFonts w:cs="Times New Roman"/>
          <w:color w:val="000000"/>
          <w:sz w:val="24"/>
          <w:szCs w:val="24"/>
        </w:rPr>
        <w:t xml:space="preserve"> in 2010 as compared to the 8,771 requests in 2009</w:t>
      </w:r>
      <w:r>
        <w:rPr>
          <w:rFonts w:cs="Times New Roman"/>
          <w:color w:val="000000"/>
          <w:sz w:val="24"/>
          <w:szCs w:val="24"/>
        </w:rPr>
        <w:t xml:space="preserve"> (C.N.S.A.S. 2010, 15)</w:t>
      </w:r>
      <w:r w:rsidRPr="006C262F">
        <w:rPr>
          <w:rFonts w:cs="Times New Roman"/>
          <w:color w:val="000000"/>
          <w:sz w:val="24"/>
          <w:szCs w:val="24"/>
        </w:rPr>
        <w:t>.</w:t>
      </w:r>
      <w:r w:rsidRPr="006C262F">
        <w:rPr>
          <w:rStyle w:val="EndnoteReference"/>
          <w:rFonts w:cs="Times New Roman"/>
          <w:color w:val="000000"/>
          <w:sz w:val="24"/>
          <w:szCs w:val="24"/>
        </w:rPr>
        <w:endnoteReference w:id="42"/>
      </w:r>
      <w:r>
        <w:rPr>
          <w:rFonts w:cs="Times New Roman"/>
          <w:color w:val="000000"/>
          <w:sz w:val="24"/>
          <w:szCs w:val="24"/>
        </w:rPr>
        <w:t xml:space="preserve"> </w:t>
      </w:r>
      <w:r w:rsidRPr="006C262F">
        <w:rPr>
          <w:rFonts w:cs="Times New Roman"/>
          <w:color w:val="000000"/>
          <w:sz w:val="24"/>
          <w:szCs w:val="24"/>
        </w:rPr>
        <w:t>Commissioner</w:t>
      </w:r>
      <w:r>
        <w:rPr>
          <w:rFonts w:cs="Times New Roman"/>
          <w:color w:val="000000"/>
          <w:sz w:val="24"/>
          <w:szCs w:val="24"/>
        </w:rPr>
        <w:t>s</w:t>
      </w:r>
      <w:r w:rsidRPr="006C262F">
        <w:rPr>
          <w:rFonts w:cs="Times New Roman"/>
          <w:color w:val="000000"/>
          <w:sz w:val="24"/>
          <w:szCs w:val="24"/>
        </w:rPr>
        <w:t xml:space="preserve"> </w:t>
      </w:r>
      <w:proofErr w:type="spellStart"/>
      <w:r w:rsidRPr="002E7373">
        <w:rPr>
          <w:rFonts w:eastAsia="Times New Roman"/>
          <w:color w:val="000000"/>
          <w:sz w:val="24"/>
          <w:szCs w:val="24"/>
        </w:rPr>
        <w:t>Petrescu</w:t>
      </w:r>
      <w:proofErr w:type="spellEnd"/>
      <w:r w:rsidRPr="002E7373">
        <w:rPr>
          <w:rFonts w:cs="Times New Roman"/>
          <w:color w:val="000000"/>
          <w:sz w:val="24"/>
          <w:szCs w:val="24"/>
        </w:rPr>
        <w:t xml:space="preserve"> </w:t>
      </w:r>
      <w:r>
        <w:rPr>
          <w:rFonts w:cs="Times New Roman"/>
          <w:color w:val="000000"/>
          <w:sz w:val="24"/>
          <w:szCs w:val="24"/>
        </w:rPr>
        <w:t>and</w:t>
      </w:r>
      <w:r w:rsidRPr="00C82C21">
        <w:rPr>
          <w:rFonts w:cs="Times New Roman"/>
          <w:color w:val="000000"/>
          <w:sz w:val="24"/>
          <w:szCs w:val="24"/>
        </w:rPr>
        <w:t xml:space="preserve"> </w:t>
      </w:r>
      <w:proofErr w:type="spellStart"/>
      <w:r w:rsidRPr="00C82C21">
        <w:rPr>
          <w:rFonts w:eastAsia="Times New Roman"/>
          <w:color w:val="000000"/>
          <w:sz w:val="24"/>
          <w:szCs w:val="24"/>
        </w:rPr>
        <w:t>Cioflâncă</w:t>
      </w:r>
      <w:proofErr w:type="spellEnd"/>
      <w:r w:rsidRPr="00C82C21">
        <w:rPr>
          <w:rFonts w:cs="Times New Roman"/>
          <w:color w:val="000000"/>
          <w:sz w:val="24"/>
          <w:szCs w:val="24"/>
        </w:rPr>
        <w:t xml:space="preserve"> </w:t>
      </w:r>
      <w:r w:rsidRPr="006C262F">
        <w:rPr>
          <w:rFonts w:cs="Times New Roman"/>
          <w:color w:val="000000"/>
          <w:sz w:val="24"/>
          <w:szCs w:val="24"/>
        </w:rPr>
        <w:t xml:space="preserve">explained that </w:t>
      </w:r>
      <w:r>
        <w:rPr>
          <w:rFonts w:cs="Times New Roman"/>
          <w:color w:val="000000"/>
          <w:sz w:val="24"/>
          <w:szCs w:val="24"/>
        </w:rPr>
        <w:t>the C.N.S.A.S.</w:t>
      </w:r>
      <w:r w:rsidRPr="006C262F">
        <w:rPr>
          <w:rFonts w:cs="Times New Roman"/>
          <w:color w:val="000000"/>
          <w:sz w:val="24"/>
          <w:szCs w:val="24"/>
        </w:rPr>
        <w:t xml:space="preserve"> is better able to </w:t>
      </w:r>
      <w:r>
        <w:rPr>
          <w:rFonts w:cs="Times New Roman"/>
          <w:color w:val="000000"/>
          <w:sz w:val="24"/>
          <w:szCs w:val="24"/>
        </w:rPr>
        <w:t>avoid the media spotlight</w:t>
      </w:r>
      <w:r w:rsidRPr="006C262F">
        <w:rPr>
          <w:rFonts w:cs="Times New Roman"/>
          <w:color w:val="000000"/>
          <w:sz w:val="24"/>
          <w:szCs w:val="24"/>
        </w:rPr>
        <w:t xml:space="preserve"> and therefore the investigations </w:t>
      </w:r>
      <w:r>
        <w:rPr>
          <w:rFonts w:cs="Times New Roman"/>
          <w:color w:val="000000"/>
          <w:sz w:val="24"/>
          <w:szCs w:val="24"/>
        </w:rPr>
        <w:t>remain less</w:t>
      </w:r>
      <w:r w:rsidRPr="006C262F">
        <w:rPr>
          <w:rFonts w:cs="Times New Roman"/>
          <w:color w:val="000000"/>
          <w:sz w:val="24"/>
          <w:szCs w:val="24"/>
        </w:rPr>
        <w:t xml:space="preserve"> </w:t>
      </w:r>
      <w:r>
        <w:rPr>
          <w:rFonts w:cs="Times New Roman"/>
          <w:color w:val="000000"/>
          <w:sz w:val="24"/>
          <w:szCs w:val="24"/>
        </w:rPr>
        <w:t>sensationalized</w:t>
      </w:r>
      <w:r w:rsidRPr="006C262F">
        <w:rPr>
          <w:rFonts w:cs="Times New Roman"/>
          <w:color w:val="000000"/>
          <w:sz w:val="24"/>
          <w:szCs w:val="24"/>
        </w:rPr>
        <w:t xml:space="preserve">, something especially important given the </w:t>
      </w:r>
      <w:r>
        <w:rPr>
          <w:rFonts w:cs="Times New Roman"/>
          <w:color w:val="000000"/>
          <w:sz w:val="24"/>
          <w:szCs w:val="24"/>
        </w:rPr>
        <w:t>previous problems</w:t>
      </w:r>
      <w:r w:rsidRPr="006C262F">
        <w:rPr>
          <w:rFonts w:cs="Times New Roman"/>
          <w:color w:val="000000"/>
          <w:sz w:val="24"/>
          <w:szCs w:val="24"/>
        </w:rPr>
        <w:t>.</w:t>
      </w:r>
      <w:r w:rsidRPr="006C262F">
        <w:rPr>
          <w:rStyle w:val="EndnoteReference"/>
          <w:rFonts w:eastAsia="Times New Roman" w:cs="Times New Roman"/>
          <w:color w:val="000000"/>
          <w:sz w:val="24"/>
          <w:szCs w:val="24"/>
        </w:rPr>
        <w:t xml:space="preserve"> </w:t>
      </w:r>
      <w:r w:rsidRPr="006C262F">
        <w:rPr>
          <w:rStyle w:val="EndnoteReference"/>
          <w:rFonts w:eastAsia="Times New Roman" w:cs="Times New Roman"/>
          <w:color w:val="000000"/>
          <w:sz w:val="24"/>
          <w:szCs w:val="24"/>
        </w:rPr>
        <w:endnoteReference w:id="43"/>
      </w:r>
      <w:r w:rsidRPr="006C262F">
        <w:rPr>
          <w:rFonts w:cs="Times New Roman"/>
          <w:color w:val="000000"/>
          <w:sz w:val="24"/>
          <w:szCs w:val="24"/>
        </w:rPr>
        <w:t xml:space="preserve"> </w:t>
      </w:r>
    </w:p>
    <w:p w:rsidR="0064274E" w:rsidRDefault="0064274E" w:rsidP="00387D89">
      <w:pPr>
        <w:spacing w:after="0" w:line="480" w:lineRule="auto"/>
        <w:rPr>
          <w:rFonts w:cs="Times New Roman"/>
          <w:b/>
          <w:color w:val="000000"/>
          <w:sz w:val="24"/>
          <w:szCs w:val="24"/>
        </w:rPr>
      </w:pPr>
      <w:r>
        <w:rPr>
          <w:rFonts w:cs="Times New Roman"/>
          <w:color w:val="000000"/>
          <w:sz w:val="24"/>
          <w:szCs w:val="24"/>
        </w:rPr>
        <w:tab/>
        <w:t>The size and scope of public disclosures increased when the C.N.S.A.S. was stripped of its formal lustration capacity.  According to the C.N.S.A.S. Annual Reports</w:t>
      </w:r>
      <w:r w:rsidRPr="006C262F">
        <w:rPr>
          <w:rFonts w:cs="Times New Roman"/>
          <w:color w:val="000000"/>
          <w:sz w:val="24"/>
          <w:szCs w:val="24"/>
        </w:rPr>
        <w:t>, by 2009 it verified 52,546</w:t>
      </w:r>
      <w:r>
        <w:rPr>
          <w:rFonts w:cs="Times New Roman"/>
          <w:color w:val="000000"/>
          <w:sz w:val="24"/>
          <w:szCs w:val="24"/>
        </w:rPr>
        <w:t xml:space="preserve"> files</w:t>
      </w:r>
      <w:r w:rsidRPr="006C262F">
        <w:rPr>
          <w:rFonts w:cs="Times New Roman"/>
          <w:color w:val="000000"/>
          <w:sz w:val="24"/>
          <w:szCs w:val="24"/>
        </w:rPr>
        <w:t xml:space="preserve">, which gives it a file disclosure function similar to </w:t>
      </w:r>
      <w:r>
        <w:rPr>
          <w:rFonts w:cs="Times New Roman"/>
          <w:color w:val="000000"/>
          <w:sz w:val="24"/>
          <w:szCs w:val="24"/>
        </w:rPr>
        <w:t xml:space="preserve">that of </w:t>
      </w:r>
      <w:r w:rsidRPr="006C262F">
        <w:rPr>
          <w:rFonts w:cs="Times New Roman"/>
          <w:color w:val="000000"/>
          <w:sz w:val="24"/>
          <w:szCs w:val="24"/>
        </w:rPr>
        <w:t xml:space="preserve">Bulgaria’s Dossier Commission.  For the 2012 elections, </w:t>
      </w:r>
      <w:r>
        <w:rPr>
          <w:rFonts w:cs="Times New Roman"/>
          <w:color w:val="000000"/>
          <w:sz w:val="24"/>
          <w:szCs w:val="24"/>
        </w:rPr>
        <w:t>the C.N.S.A.S.</w:t>
      </w:r>
      <w:r w:rsidRPr="006C262F">
        <w:rPr>
          <w:rFonts w:cs="Times New Roman"/>
          <w:color w:val="000000"/>
          <w:sz w:val="24"/>
          <w:szCs w:val="24"/>
        </w:rPr>
        <w:t xml:space="preserve"> screened 6,423 candidates for local elections and 2,362 candidates for Parliament election rolls</w:t>
      </w:r>
      <w:r>
        <w:rPr>
          <w:rFonts w:cs="Times New Roman"/>
          <w:color w:val="000000"/>
          <w:sz w:val="24"/>
          <w:szCs w:val="24"/>
        </w:rPr>
        <w:t xml:space="preserve"> (C.N.S.A.S. 2012)</w:t>
      </w:r>
      <w:r w:rsidRPr="006C262F">
        <w:rPr>
          <w:rFonts w:cs="Times New Roman"/>
          <w:color w:val="000000"/>
          <w:sz w:val="24"/>
          <w:szCs w:val="24"/>
        </w:rPr>
        <w:t>.</w:t>
      </w:r>
      <w:r w:rsidRPr="006C262F">
        <w:rPr>
          <w:rStyle w:val="EndnoteReference"/>
          <w:rFonts w:cs="Times New Roman"/>
          <w:color w:val="000000"/>
          <w:sz w:val="24"/>
          <w:szCs w:val="24"/>
        </w:rPr>
        <w:endnoteReference w:id="44"/>
      </w:r>
      <w:r w:rsidRPr="006C262F">
        <w:rPr>
          <w:rFonts w:cs="Times New Roman"/>
          <w:color w:val="000000"/>
          <w:sz w:val="24"/>
          <w:szCs w:val="24"/>
        </w:rPr>
        <w:t xml:space="preserve">  </w:t>
      </w:r>
      <w:r>
        <w:rPr>
          <w:rFonts w:cs="Times New Roman"/>
          <w:color w:val="000000"/>
          <w:sz w:val="24"/>
          <w:szCs w:val="24"/>
        </w:rPr>
        <w:t>As Table 3 demonstrates</w:t>
      </w:r>
      <w:r>
        <w:rPr>
          <w:rFonts w:cs="Times New Roman"/>
          <w:sz w:val="24"/>
          <w:szCs w:val="24"/>
        </w:rPr>
        <w:t>, t</w:t>
      </w:r>
      <w:r w:rsidRPr="006C262F">
        <w:rPr>
          <w:rFonts w:cs="Times New Roman"/>
          <w:color w:val="000000"/>
          <w:sz w:val="24"/>
          <w:szCs w:val="24"/>
        </w:rPr>
        <w:t xml:space="preserve">here </w:t>
      </w:r>
      <w:r>
        <w:rPr>
          <w:rFonts w:cs="Times New Roman"/>
          <w:color w:val="000000"/>
          <w:sz w:val="24"/>
          <w:szCs w:val="24"/>
        </w:rPr>
        <w:t xml:space="preserve">was </w:t>
      </w:r>
      <w:r w:rsidRPr="006C262F">
        <w:rPr>
          <w:rFonts w:cs="Times New Roman"/>
          <w:color w:val="000000"/>
          <w:sz w:val="24"/>
          <w:szCs w:val="24"/>
        </w:rPr>
        <w:t>a significant increase in the number of files reviewed and the number of informants public</w:t>
      </w:r>
      <w:r>
        <w:rPr>
          <w:rFonts w:cs="Times New Roman"/>
          <w:color w:val="000000"/>
          <w:sz w:val="24"/>
          <w:szCs w:val="24"/>
        </w:rPr>
        <w:t xml:space="preserve">ized. By 2012, more than 700,000 files were publicly released. This marks a significant improvement in transparency and accountability compared to Romania’s previous approach to transitional justice. </w:t>
      </w:r>
      <w:r>
        <w:rPr>
          <w:rFonts w:cs="Times New Roman"/>
          <w:b/>
          <w:color w:val="000000"/>
          <w:sz w:val="24"/>
          <w:szCs w:val="24"/>
        </w:rPr>
        <w:t>-</w:t>
      </w:r>
      <w:proofErr w:type="gramStart"/>
      <w:r>
        <w:rPr>
          <w:rFonts w:cs="Times New Roman"/>
          <w:b/>
          <w:color w:val="000000"/>
          <w:sz w:val="24"/>
          <w:szCs w:val="24"/>
        </w:rPr>
        <w:t>insert</w:t>
      </w:r>
      <w:proofErr w:type="gramEnd"/>
      <w:r>
        <w:rPr>
          <w:rFonts w:cs="Times New Roman"/>
          <w:b/>
          <w:color w:val="000000"/>
          <w:sz w:val="24"/>
          <w:szCs w:val="24"/>
        </w:rPr>
        <w:t xml:space="preserve"> table 3 –</w:t>
      </w:r>
    </w:p>
    <w:p w:rsidR="0064274E" w:rsidRPr="00735FAA" w:rsidRDefault="0064274E" w:rsidP="002D49EF">
      <w:pPr>
        <w:spacing w:after="0" w:line="480" w:lineRule="auto"/>
        <w:rPr>
          <w:rFonts w:cs="Times New Roman"/>
          <w:color w:val="000000"/>
          <w:sz w:val="24"/>
          <w:szCs w:val="24"/>
        </w:rPr>
      </w:pPr>
      <w:r>
        <w:rPr>
          <w:rFonts w:cs="Times New Roman"/>
          <w:color w:val="000000"/>
          <w:sz w:val="24"/>
          <w:szCs w:val="24"/>
        </w:rPr>
        <w:tab/>
        <w:t xml:space="preserve">The C.N.S.A.S. has a legal mandate to verify the background of individuals standing for elected office and a host of top level appointed political positions. </w:t>
      </w:r>
      <w:r w:rsidRPr="006C262F">
        <w:rPr>
          <w:rFonts w:cs="Times New Roman"/>
          <w:color w:val="000000"/>
          <w:sz w:val="24"/>
          <w:szCs w:val="24"/>
        </w:rPr>
        <w:t xml:space="preserve">In addition, </w:t>
      </w:r>
      <w:r>
        <w:rPr>
          <w:rFonts w:cs="Times New Roman"/>
          <w:color w:val="000000"/>
          <w:sz w:val="24"/>
          <w:szCs w:val="24"/>
        </w:rPr>
        <w:t>the C.N.S.A.S.</w:t>
      </w:r>
      <w:r w:rsidRPr="006C262F">
        <w:rPr>
          <w:rFonts w:cs="Times New Roman"/>
          <w:color w:val="000000"/>
          <w:sz w:val="24"/>
          <w:szCs w:val="24"/>
        </w:rPr>
        <w:t xml:space="preserve"> also takes verification requests from employers, NGOs, businesses and interested parties across a range of public and semi-public sectors</w:t>
      </w:r>
      <w:r>
        <w:rPr>
          <w:rFonts w:cs="Times New Roman"/>
          <w:color w:val="000000"/>
          <w:sz w:val="24"/>
          <w:szCs w:val="24"/>
        </w:rPr>
        <w:t>,</w:t>
      </w:r>
      <w:r w:rsidRPr="006C262F">
        <w:rPr>
          <w:rFonts w:cs="Times New Roman"/>
          <w:color w:val="000000"/>
          <w:sz w:val="24"/>
          <w:szCs w:val="24"/>
        </w:rPr>
        <w:t xml:space="preserve"> and reviews the files of employees or potential employees.   The C.N.S.A.S. can also initiate an investigation into anyone serving in one of the public or semi-public positions covered by the law. Despite many setbacks in its structure, </w:t>
      </w:r>
      <w:r w:rsidRPr="006C262F">
        <w:rPr>
          <w:rFonts w:cs="Times New Roman"/>
          <w:color w:val="000000"/>
          <w:sz w:val="24"/>
          <w:szCs w:val="24"/>
        </w:rPr>
        <w:lastRenderedPageBreak/>
        <w:t xml:space="preserve">function, and legal authority, </w:t>
      </w:r>
      <w:r>
        <w:rPr>
          <w:rFonts w:cs="Times New Roman"/>
          <w:color w:val="000000"/>
          <w:sz w:val="24"/>
          <w:szCs w:val="24"/>
        </w:rPr>
        <w:t>the C.N.S.A.S.</w:t>
      </w:r>
      <w:r w:rsidRPr="006C262F">
        <w:rPr>
          <w:rFonts w:cs="Times New Roman"/>
          <w:color w:val="000000"/>
          <w:sz w:val="24"/>
          <w:szCs w:val="24"/>
        </w:rPr>
        <w:t xml:space="preserve"> has continued to </w:t>
      </w:r>
      <w:r>
        <w:rPr>
          <w:rFonts w:cs="Times New Roman"/>
          <w:color w:val="000000"/>
          <w:sz w:val="24"/>
          <w:szCs w:val="24"/>
        </w:rPr>
        <w:t>engage</w:t>
      </w:r>
      <w:r w:rsidRPr="006C262F">
        <w:rPr>
          <w:rFonts w:cs="Times New Roman"/>
          <w:color w:val="000000"/>
          <w:sz w:val="24"/>
          <w:szCs w:val="24"/>
        </w:rPr>
        <w:t xml:space="preserve"> in an active process of public disclosures.</w:t>
      </w:r>
    </w:p>
    <w:p w:rsidR="0064274E" w:rsidRPr="00BB2F51" w:rsidRDefault="0064274E" w:rsidP="008C2037">
      <w:pPr>
        <w:spacing w:after="0" w:line="480" w:lineRule="auto"/>
        <w:rPr>
          <w:b/>
          <w:i/>
          <w:sz w:val="24"/>
          <w:szCs w:val="24"/>
        </w:rPr>
      </w:pPr>
      <w:r>
        <w:rPr>
          <w:b/>
          <w:i/>
          <w:sz w:val="24"/>
          <w:szCs w:val="24"/>
        </w:rPr>
        <w:tab/>
        <w:t>Targeting</w:t>
      </w:r>
      <w:r w:rsidRPr="00BB2F51">
        <w:rPr>
          <w:b/>
          <w:i/>
          <w:sz w:val="24"/>
          <w:szCs w:val="24"/>
        </w:rPr>
        <w:t xml:space="preserve"> social positions</w:t>
      </w:r>
    </w:p>
    <w:p w:rsidR="0064274E" w:rsidRDefault="0064274E" w:rsidP="002D49EF">
      <w:pPr>
        <w:spacing w:after="0" w:line="480" w:lineRule="auto"/>
        <w:rPr>
          <w:sz w:val="24"/>
          <w:szCs w:val="24"/>
        </w:rPr>
      </w:pPr>
      <w:r>
        <w:rPr>
          <w:sz w:val="24"/>
          <w:szCs w:val="24"/>
        </w:rPr>
        <w:tab/>
      </w:r>
      <w:r w:rsidRPr="00390E46">
        <w:rPr>
          <w:sz w:val="24"/>
          <w:szCs w:val="24"/>
        </w:rPr>
        <w:t>Both Bulgaria and Romania’s public disclosure</w:t>
      </w:r>
      <w:r>
        <w:rPr>
          <w:sz w:val="24"/>
          <w:szCs w:val="24"/>
        </w:rPr>
        <w:t xml:space="preserve"> programs extend beyond top office holders, and encompass a range of non-elected and socially resonant positions. In this way the programs mirror the lustration of individuals in broadly construed positions of public trust seen in the late lustration program in Poland (Horne 2009).  Although they have not removed individuals from positions of power, the attention to socially salient figures galvanized popular attention to the multifaceted legacies of communism. In some ways, citizens were more aggrieved by the unexpected revelations of complicity by public personalities and social figures than of political figures for </w:t>
      </w:r>
      <w:proofErr w:type="gramStart"/>
      <w:r>
        <w:rPr>
          <w:sz w:val="24"/>
          <w:szCs w:val="24"/>
        </w:rPr>
        <w:t>whom</w:t>
      </w:r>
      <w:proofErr w:type="gramEnd"/>
      <w:r>
        <w:rPr>
          <w:sz w:val="24"/>
          <w:szCs w:val="24"/>
        </w:rPr>
        <w:t xml:space="preserve"> they expected complicity.</w:t>
      </w:r>
      <w:r>
        <w:rPr>
          <w:rStyle w:val="EndnoteReference"/>
          <w:sz w:val="24"/>
          <w:szCs w:val="24"/>
        </w:rPr>
        <w:endnoteReference w:id="45"/>
      </w:r>
      <w:r>
        <w:rPr>
          <w:sz w:val="24"/>
          <w:szCs w:val="24"/>
        </w:rPr>
        <w:t xml:space="preserve"> </w:t>
      </w:r>
    </w:p>
    <w:p w:rsidR="0064274E" w:rsidRDefault="0064274E" w:rsidP="00435873">
      <w:pPr>
        <w:spacing w:after="0" w:line="480" w:lineRule="auto"/>
        <w:rPr>
          <w:rFonts w:cs="Times New Roman"/>
          <w:sz w:val="24"/>
          <w:szCs w:val="24"/>
        </w:rPr>
      </w:pPr>
      <w:r>
        <w:rPr>
          <w:rFonts w:cs="Times New Roman"/>
          <w:sz w:val="24"/>
          <w:szCs w:val="24"/>
        </w:rPr>
        <w:tab/>
        <w:t>For example, revelations about the complicity of the clergy in both Romania and Bulgaria emotionally resonated with society.  In Bulgaria, the Commission revealed that eleven</w:t>
      </w:r>
      <w:r w:rsidRPr="006A47CE">
        <w:rPr>
          <w:rFonts w:cs="Times New Roman"/>
          <w:sz w:val="24"/>
          <w:szCs w:val="24"/>
        </w:rPr>
        <w:t xml:space="preserve"> of </w:t>
      </w:r>
      <w:r>
        <w:rPr>
          <w:rFonts w:cs="Times New Roman"/>
          <w:sz w:val="24"/>
          <w:szCs w:val="24"/>
        </w:rPr>
        <w:t>the fifteen</w:t>
      </w:r>
      <w:r w:rsidRPr="006A47CE">
        <w:rPr>
          <w:rFonts w:cs="Times New Roman"/>
          <w:sz w:val="24"/>
          <w:szCs w:val="24"/>
        </w:rPr>
        <w:t xml:space="preserve"> top positions in </w:t>
      </w:r>
      <w:r>
        <w:rPr>
          <w:rFonts w:cs="Times New Roman"/>
          <w:sz w:val="24"/>
          <w:szCs w:val="24"/>
        </w:rPr>
        <w:t xml:space="preserve">the </w:t>
      </w:r>
      <w:r w:rsidRPr="006A47CE">
        <w:rPr>
          <w:rFonts w:cs="Times New Roman"/>
          <w:sz w:val="24"/>
          <w:szCs w:val="24"/>
        </w:rPr>
        <w:t xml:space="preserve">Bulgarian Orthodox </w:t>
      </w:r>
      <w:proofErr w:type="gramStart"/>
      <w:r w:rsidRPr="006A47CE">
        <w:rPr>
          <w:rFonts w:cs="Times New Roman"/>
          <w:sz w:val="24"/>
          <w:szCs w:val="24"/>
        </w:rPr>
        <w:t>Church’s</w:t>
      </w:r>
      <w:proofErr w:type="gramEnd"/>
      <w:r w:rsidRPr="006A47CE">
        <w:rPr>
          <w:rFonts w:cs="Times New Roman"/>
          <w:sz w:val="24"/>
          <w:szCs w:val="24"/>
        </w:rPr>
        <w:t xml:space="preserve"> governing body—</w:t>
      </w:r>
      <w:r>
        <w:rPr>
          <w:rFonts w:cs="Times New Roman"/>
          <w:sz w:val="24"/>
          <w:szCs w:val="24"/>
        </w:rPr>
        <w:t xml:space="preserve">the </w:t>
      </w:r>
      <w:r w:rsidRPr="006A47CE">
        <w:rPr>
          <w:rFonts w:cs="Times New Roman"/>
          <w:sz w:val="24"/>
          <w:szCs w:val="24"/>
        </w:rPr>
        <w:t xml:space="preserve">Holy Synod—were </w:t>
      </w:r>
      <w:r>
        <w:rPr>
          <w:rFonts w:cs="Times New Roman"/>
          <w:sz w:val="24"/>
          <w:szCs w:val="24"/>
        </w:rPr>
        <w:t>he</w:t>
      </w:r>
      <w:r w:rsidRPr="007E252A">
        <w:rPr>
          <w:rFonts w:cs="Times New Roman"/>
          <w:sz w:val="24"/>
          <w:szCs w:val="24"/>
        </w:rPr>
        <w:t xml:space="preserve">ld by former KDS collaborators, including </w:t>
      </w:r>
      <w:r w:rsidRPr="007E252A">
        <w:rPr>
          <w:sz w:val="24"/>
          <w:szCs w:val="24"/>
        </w:rPr>
        <w:t xml:space="preserve">the </w:t>
      </w:r>
      <w:hyperlink r:id="rId9" w:tooltip="Patriarch of Bulgaria" w:history="1">
        <w:r w:rsidRPr="007E252A">
          <w:rPr>
            <w:rStyle w:val="Hyperlink"/>
            <w:color w:val="auto"/>
            <w:sz w:val="24"/>
            <w:szCs w:val="24"/>
            <w:u w:val="none"/>
          </w:rPr>
          <w:t>Patriarch of Bulgaria</w:t>
        </w:r>
      </w:hyperlink>
      <w:r w:rsidRPr="007E252A">
        <w:rPr>
          <w:sz w:val="24"/>
          <w:szCs w:val="24"/>
        </w:rPr>
        <w:t xml:space="preserve"> (</w:t>
      </w:r>
      <w:proofErr w:type="spellStart"/>
      <w:r w:rsidRPr="007E252A">
        <w:rPr>
          <w:sz w:val="24"/>
          <w:szCs w:val="24"/>
        </w:rPr>
        <w:t>Leviev</w:t>
      </w:r>
      <w:proofErr w:type="spellEnd"/>
      <w:r w:rsidRPr="007E252A">
        <w:rPr>
          <w:sz w:val="24"/>
          <w:szCs w:val="24"/>
        </w:rPr>
        <w:t>-Sawyer, 2012a).</w:t>
      </w:r>
      <w:r w:rsidRPr="00E51686">
        <w:rPr>
          <w:sz w:val="24"/>
          <w:szCs w:val="24"/>
        </w:rPr>
        <w:t xml:space="preserve"> </w:t>
      </w:r>
      <w:r w:rsidRPr="00E51686">
        <w:rPr>
          <w:rFonts w:eastAsia="Times New Roman" w:cs="Times New Roman"/>
          <w:sz w:val="24"/>
          <w:szCs w:val="24"/>
        </w:rPr>
        <w:t xml:space="preserve">The </w:t>
      </w:r>
      <w:r>
        <w:rPr>
          <w:rFonts w:eastAsia="Times New Roman" w:cs="Times New Roman"/>
          <w:sz w:val="24"/>
          <w:szCs w:val="24"/>
        </w:rPr>
        <w:t>clergy</w:t>
      </w:r>
      <w:r w:rsidRPr="00E51686">
        <w:rPr>
          <w:rFonts w:eastAsia="Times New Roman" w:cs="Times New Roman"/>
          <w:sz w:val="24"/>
          <w:szCs w:val="24"/>
        </w:rPr>
        <w:t xml:space="preserve"> did not file denunciations of lay people but gathered information abou</w:t>
      </w:r>
      <w:r>
        <w:rPr>
          <w:rFonts w:eastAsia="Times New Roman" w:cs="Times New Roman"/>
          <w:sz w:val="24"/>
          <w:szCs w:val="24"/>
        </w:rPr>
        <w:t>t what was going on within the C</w:t>
      </w:r>
      <w:r w:rsidRPr="00E51686">
        <w:rPr>
          <w:rFonts w:eastAsia="Times New Roman" w:cs="Times New Roman"/>
          <w:sz w:val="24"/>
          <w:szCs w:val="24"/>
        </w:rPr>
        <w:t>hurch a</w:t>
      </w:r>
      <w:r>
        <w:rPr>
          <w:rFonts w:eastAsia="Times New Roman" w:cs="Times New Roman"/>
          <w:sz w:val="24"/>
          <w:szCs w:val="24"/>
        </w:rPr>
        <w:t xml:space="preserve">nd wrote denunciations of fellow </w:t>
      </w:r>
      <w:r w:rsidRPr="00E51686">
        <w:rPr>
          <w:rFonts w:eastAsia="Times New Roman" w:cs="Times New Roman"/>
          <w:sz w:val="24"/>
          <w:szCs w:val="24"/>
        </w:rPr>
        <w:t>clergy</w:t>
      </w:r>
      <w:r>
        <w:rPr>
          <w:rFonts w:eastAsia="Times New Roman" w:cs="Times New Roman"/>
          <w:sz w:val="24"/>
          <w:szCs w:val="24"/>
        </w:rPr>
        <w:t xml:space="preserve">men as a means of self-promotion </w:t>
      </w:r>
      <w:r w:rsidRPr="007E252A">
        <w:rPr>
          <w:sz w:val="24"/>
          <w:szCs w:val="24"/>
        </w:rPr>
        <w:t>(</w:t>
      </w:r>
      <w:proofErr w:type="spellStart"/>
      <w:r w:rsidRPr="007E252A">
        <w:rPr>
          <w:sz w:val="24"/>
          <w:szCs w:val="24"/>
        </w:rPr>
        <w:t>Leviev</w:t>
      </w:r>
      <w:proofErr w:type="spellEnd"/>
      <w:r w:rsidRPr="007E252A">
        <w:rPr>
          <w:sz w:val="24"/>
          <w:szCs w:val="24"/>
        </w:rPr>
        <w:t>-Sawyer, 2012</w:t>
      </w:r>
      <w:r>
        <w:rPr>
          <w:sz w:val="24"/>
          <w:szCs w:val="24"/>
        </w:rPr>
        <w:t>b</w:t>
      </w:r>
      <w:r w:rsidRPr="007E252A">
        <w:rPr>
          <w:sz w:val="24"/>
          <w:szCs w:val="24"/>
        </w:rPr>
        <w:t>)</w:t>
      </w:r>
      <w:r>
        <w:rPr>
          <w:rFonts w:eastAsia="Times New Roman" w:cs="Times New Roman"/>
          <w:sz w:val="24"/>
          <w:szCs w:val="24"/>
        </w:rPr>
        <w:t>.</w:t>
      </w:r>
      <w:r w:rsidRPr="00E51686">
        <w:rPr>
          <w:rStyle w:val="EndnoteReference"/>
          <w:rFonts w:eastAsia="Times New Roman" w:cs="Times New Roman"/>
          <w:sz w:val="24"/>
          <w:szCs w:val="24"/>
        </w:rPr>
        <w:endnoteReference w:id="46"/>
      </w:r>
      <w:r>
        <w:rPr>
          <w:rFonts w:eastAsia="Times New Roman" w:cs="Times New Roman"/>
          <w:sz w:val="24"/>
          <w:szCs w:val="24"/>
        </w:rPr>
        <w:t xml:space="preserve"> </w:t>
      </w:r>
      <w:r w:rsidRPr="00E51686">
        <w:rPr>
          <w:rFonts w:cs="Times New Roman"/>
          <w:sz w:val="24"/>
          <w:szCs w:val="24"/>
        </w:rPr>
        <w:t xml:space="preserve">The Church </w:t>
      </w:r>
      <w:r>
        <w:rPr>
          <w:rFonts w:cs="Times New Roman"/>
          <w:sz w:val="24"/>
          <w:szCs w:val="24"/>
        </w:rPr>
        <w:t>refused to apologize or</w:t>
      </w:r>
      <w:r w:rsidRPr="00E51686">
        <w:rPr>
          <w:rFonts w:cs="Times New Roman"/>
          <w:sz w:val="24"/>
          <w:szCs w:val="24"/>
        </w:rPr>
        <w:t xml:space="preserve"> retire the officials and even went on the offensive with respect </w:t>
      </w:r>
      <w:r>
        <w:rPr>
          <w:rFonts w:cs="Times New Roman"/>
          <w:sz w:val="24"/>
          <w:szCs w:val="24"/>
        </w:rPr>
        <w:t>to the media and the Commission (Sofia Echo 2012, March 18)</w:t>
      </w:r>
      <w:r w:rsidRPr="00E51686">
        <w:rPr>
          <w:rFonts w:cs="Times New Roman"/>
          <w:sz w:val="24"/>
          <w:szCs w:val="24"/>
        </w:rPr>
        <w:t xml:space="preserve">. </w:t>
      </w:r>
      <w:r>
        <w:rPr>
          <w:rFonts w:cs="Times New Roman"/>
          <w:sz w:val="24"/>
          <w:szCs w:val="24"/>
        </w:rPr>
        <w:t xml:space="preserve"> The revelations resonated negatively with the population, and changed perceptions about the trustworthiness of the Church as a cultural institution.</w:t>
      </w:r>
      <w:r>
        <w:rPr>
          <w:rStyle w:val="EndnoteReference"/>
          <w:rFonts w:cs="Times New Roman"/>
          <w:sz w:val="24"/>
          <w:szCs w:val="24"/>
        </w:rPr>
        <w:endnoteReference w:id="47"/>
      </w:r>
      <w:r>
        <w:rPr>
          <w:rFonts w:cs="Times New Roman"/>
          <w:sz w:val="24"/>
          <w:szCs w:val="24"/>
        </w:rPr>
        <w:t xml:space="preserve"> </w:t>
      </w:r>
      <w:r w:rsidRPr="00E51686">
        <w:rPr>
          <w:rFonts w:cs="Times New Roman"/>
          <w:sz w:val="24"/>
          <w:szCs w:val="24"/>
        </w:rPr>
        <w:t>O</w:t>
      </w:r>
      <w:r>
        <w:rPr>
          <w:rFonts w:cs="Times New Roman"/>
          <w:sz w:val="24"/>
          <w:szCs w:val="24"/>
        </w:rPr>
        <w:t>ne report showed</w:t>
      </w:r>
      <w:r w:rsidRPr="00E51686">
        <w:rPr>
          <w:rFonts w:cs="Times New Roman"/>
          <w:sz w:val="24"/>
          <w:szCs w:val="24"/>
        </w:rPr>
        <w:t xml:space="preserve"> approval of </w:t>
      </w:r>
      <w:r>
        <w:rPr>
          <w:rFonts w:cs="Times New Roman"/>
          <w:sz w:val="24"/>
          <w:szCs w:val="24"/>
        </w:rPr>
        <w:t>the church fell 17% in the three</w:t>
      </w:r>
      <w:r w:rsidRPr="00E51686">
        <w:rPr>
          <w:rFonts w:cs="Times New Roman"/>
          <w:sz w:val="24"/>
          <w:szCs w:val="24"/>
        </w:rPr>
        <w:t xml:space="preserve"> months</w:t>
      </w:r>
      <w:r>
        <w:rPr>
          <w:rFonts w:cs="Times New Roman"/>
          <w:sz w:val="24"/>
          <w:szCs w:val="24"/>
        </w:rPr>
        <w:t xml:space="preserve"> after the revelations</w:t>
      </w:r>
      <w:r w:rsidRPr="00E51686">
        <w:rPr>
          <w:rFonts w:cs="Times New Roman"/>
          <w:sz w:val="24"/>
          <w:szCs w:val="24"/>
        </w:rPr>
        <w:t xml:space="preserve">; </w:t>
      </w:r>
      <w:r>
        <w:rPr>
          <w:rFonts w:cs="Times New Roman"/>
          <w:sz w:val="24"/>
          <w:szCs w:val="24"/>
        </w:rPr>
        <w:t>42</w:t>
      </w:r>
      <w:r w:rsidRPr="00E51686">
        <w:rPr>
          <w:rFonts w:cs="Times New Roman"/>
          <w:sz w:val="24"/>
          <w:szCs w:val="24"/>
        </w:rPr>
        <w:t xml:space="preserve">% </w:t>
      </w:r>
      <w:r>
        <w:rPr>
          <w:rFonts w:cs="Times New Roman"/>
          <w:sz w:val="24"/>
          <w:szCs w:val="24"/>
        </w:rPr>
        <w:t xml:space="preserve">of the most religious individuals polled </w:t>
      </w:r>
      <w:r w:rsidRPr="00E51686">
        <w:rPr>
          <w:rFonts w:cs="Times New Roman"/>
          <w:sz w:val="24"/>
          <w:szCs w:val="24"/>
        </w:rPr>
        <w:t xml:space="preserve">thought </w:t>
      </w:r>
      <w:r>
        <w:rPr>
          <w:rFonts w:cs="Times New Roman"/>
          <w:sz w:val="24"/>
          <w:szCs w:val="24"/>
        </w:rPr>
        <w:t xml:space="preserve">the </w:t>
      </w:r>
      <w:r w:rsidRPr="00E51686">
        <w:rPr>
          <w:rFonts w:cs="Times New Roman"/>
          <w:sz w:val="24"/>
          <w:szCs w:val="24"/>
        </w:rPr>
        <w:t>clergy should resign</w:t>
      </w:r>
      <w:r>
        <w:rPr>
          <w:rFonts w:cs="Times New Roman"/>
          <w:sz w:val="24"/>
          <w:szCs w:val="24"/>
        </w:rPr>
        <w:t xml:space="preserve"> (Sofia Echo 2012, March 5)</w:t>
      </w:r>
      <w:r w:rsidRPr="00E51686">
        <w:rPr>
          <w:rFonts w:cs="Times New Roman"/>
          <w:sz w:val="24"/>
          <w:szCs w:val="24"/>
        </w:rPr>
        <w:t xml:space="preserve">.  </w:t>
      </w:r>
    </w:p>
    <w:p w:rsidR="0064274E" w:rsidRPr="0032284E" w:rsidRDefault="0064274E" w:rsidP="00435873">
      <w:pPr>
        <w:spacing w:after="0" w:line="480" w:lineRule="auto"/>
        <w:rPr>
          <w:rFonts w:cs="Times New Roman"/>
          <w:sz w:val="24"/>
          <w:szCs w:val="24"/>
        </w:rPr>
      </w:pPr>
      <w:r>
        <w:rPr>
          <w:rFonts w:cs="Times New Roman"/>
          <w:sz w:val="24"/>
          <w:szCs w:val="24"/>
        </w:rPr>
        <w:lastRenderedPageBreak/>
        <w:tab/>
      </w:r>
      <w:r w:rsidRPr="00435873">
        <w:rPr>
          <w:sz w:val="24"/>
          <w:szCs w:val="24"/>
        </w:rPr>
        <w:t xml:space="preserve">The Orthodox Church in Romania was </w:t>
      </w:r>
      <w:r>
        <w:rPr>
          <w:sz w:val="24"/>
          <w:szCs w:val="24"/>
        </w:rPr>
        <w:t xml:space="preserve">also </w:t>
      </w:r>
      <w:r w:rsidRPr="00435873">
        <w:rPr>
          <w:sz w:val="24"/>
          <w:szCs w:val="24"/>
        </w:rPr>
        <w:t xml:space="preserve">actively complicit with the </w:t>
      </w:r>
      <w:r>
        <w:rPr>
          <w:i/>
          <w:sz w:val="24"/>
          <w:szCs w:val="24"/>
        </w:rPr>
        <w:t>Securitate</w:t>
      </w:r>
      <w:r>
        <w:rPr>
          <w:sz w:val="24"/>
          <w:szCs w:val="24"/>
        </w:rPr>
        <w:t xml:space="preserve">. </w:t>
      </w:r>
      <w:r w:rsidRPr="00435873">
        <w:rPr>
          <w:sz w:val="24"/>
          <w:szCs w:val="24"/>
        </w:rPr>
        <w:t xml:space="preserve"> </w:t>
      </w:r>
      <w:r>
        <w:rPr>
          <w:sz w:val="24"/>
          <w:szCs w:val="24"/>
        </w:rPr>
        <w:t>While</w:t>
      </w:r>
      <w:r w:rsidRPr="00435873">
        <w:rPr>
          <w:sz w:val="24"/>
          <w:szCs w:val="24"/>
        </w:rPr>
        <w:t xml:space="preserve"> public disclosures o</w:t>
      </w:r>
      <w:r>
        <w:rPr>
          <w:sz w:val="24"/>
          <w:szCs w:val="24"/>
        </w:rPr>
        <w:t>f Church complicity in Romania we</w:t>
      </w:r>
      <w:r w:rsidRPr="00435873">
        <w:rPr>
          <w:sz w:val="24"/>
          <w:szCs w:val="24"/>
        </w:rPr>
        <w:t xml:space="preserve">re not surprising, </w:t>
      </w:r>
      <w:r>
        <w:rPr>
          <w:sz w:val="24"/>
          <w:szCs w:val="24"/>
        </w:rPr>
        <w:t xml:space="preserve">the depth of complicity </w:t>
      </w:r>
      <w:r w:rsidRPr="00435873">
        <w:rPr>
          <w:sz w:val="24"/>
          <w:szCs w:val="24"/>
        </w:rPr>
        <w:t xml:space="preserve">catalyzed a </w:t>
      </w:r>
      <w:r>
        <w:rPr>
          <w:sz w:val="24"/>
          <w:szCs w:val="24"/>
        </w:rPr>
        <w:t xml:space="preserve">similarly </w:t>
      </w:r>
      <w:r w:rsidRPr="00435873">
        <w:rPr>
          <w:sz w:val="24"/>
          <w:szCs w:val="24"/>
        </w:rPr>
        <w:t>negative response from citizens</w:t>
      </w:r>
      <w:r>
        <w:rPr>
          <w:sz w:val="24"/>
          <w:szCs w:val="24"/>
        </w:rPr>
        <w:t xml:space="preserve"> (Stan and </w:t>
      </w:r>
      <w:proofErr w:type="spellStart"/>
      <w:r>
        <w:rPr>
          <w:sz w:val="24"/>
          <w:szCs w:val="24"/>
        </w:rPr>
        <w:t>Turcescu</w:t>
      </w:r>
      <w:proofErr w:type="spellEnd"/>
      <w:r>
        <w:rPr>
          <w:sz w:val="24"/>
          <w:szCs w:val="24"/>
        </w:rPr>
        <w:t xml:space="preserve"> 2005)</w:t>
      </w:r>
      <w:r w:rsidRPr="00435873">
        <w:rPr>
          <w:sz w:val="24"/>
          <w:szCs w:val="24"/>
        </w:rPr>
        <w:t xml:space="preserve">. </w:t>
      </w:r>
      <w:r>
        <w:rPr>
          <w:sz w:val="24"/>
          <w:szCs w:val="24"/>
        </w:rPr>
        <w:t>Some high ranking clergy members in the Church made public confessions, resulting in a catharsis with society.</w:t>
      </w:r>
      <w:r>
        <w:rPr>
          <w:rStyle w:val="EndnoteReference"/>
          <w:sz w:val="24"/>
          <w:szCs w:val="24"/>
        </w:rPr>
        <w:endnoteReference w:id="48"/>
      </w:r>
      <w:r>
        <w:rPr>
          <w:sz w:val="24"/>
          <w:szCs w:val="24"/>
        </w:rPr>
        <w:t xml:space="preserve"> The disclosures were especially politically resonant, and in 2008 the Church was legally removed from the list of positions with compulsory lustration. While the C</w:t>
      </w:r>
      <w:r w:rsidRPr="00435873">
        <w:rPr>
          <w:sz w:val="24"/>
          <w:szCs w:val="24"/>
        </w:rPr>
        <w:t>hurch can still be vetted</w:t>
      </w:r>
      <w:r>
        <w:rPr>
          <w:sz w:val="24"/>
          <w:szCs w:val="24"/>
        </w:rPr>
        <w:t>, C.N.S.A.S. can no longer initiate proceedings but must wait for specific requests by the Church.</w:t>
      </w:r>
      <w:r>
        <w:rPr>
          <w:rStyle w:val="EndnoteReference"/>
          <w:sz w:val="24"/>
          <w:szCs w:val="24"/>
        </w:rPr>
        <w:endnoteReference w:id="49"/>
      </w:r>
      <w:r w:rsidRPr="00435873">
        <w:rPr>
          <w:sz w:val="24"/>
          <w:szCs w:val="24"/>
        </w:rPr>
        <w:t xml:space="preserve"> </w:t>
      </w:r>
      <w:r>
        <w:rPr>
          <w:sz w:val="24"/>
          <w:szCs w:val="24"/>
        </w:rPr>
        <w:t xml:space="preserve"> </w:t>
      </w:r>
    </w:p>
    <w:p w:rsidR="002A643A" w:rsidRDefault="0064274E" w:rsidP="002D49EF">
      <w:pPr>
        <w:spacing w:after="0" w:line="480" w:lineRule="auto"/>
        <w:rPr>
          <w:rFonts w:eastAsia="Times New Roman" w:cs="Times New Roman"/>
          <w:sz w:val="24"/>
          <w:szCs w:val="24"/>
        </w:rPr>
      </w:pPr>
      <w:r>
        <w:rPr>
          <w:rFonts w:cs="Times New Roman"/>
          <w:sz w:val="24"/>
          <w:szCs w:val="24"/>
        </w:rPr>
        <w:tab/>
      </w:r>
      <w:r w:rsidRPr="007E5A52">
        <w:rPr>
          <w:rFonts w:cs="Times New Roman"/>
          <w:sz w:val="24"/>
          <w:szCs w:val="24"/>
        </w:rPr>
        <w:t xml:space="preserve">The </w:t>
      </w:r>
      <w:r>
        <w:rPr>
          <w:rFonts w:cs="Times New Roman"/>
          <w:sz w:val="24"/>
          <w:szCs w:val="24"/>
        </w:rPr>
        <w:t>“</w:t>
      </w:r>
      <w:r w:rsidRPr="007E5A52">
        <w:rPr>
          <w:rFonts w:cs="Times New Roman"/>
          <w:sz w:val="24"/>
          <w:szCs w:val="24"/>
        </w:rPr>
        <w:t>credit millionaires</w:t>
      </w:r>
      <w:r>
        <w:rPr>
          <w:rFonts w:cs="Times New Roman"/>
          <w:sz w:val="24"/>
          <w:szCs w:val="24"/>
        </w:rPr>
        <w:t>”</w:t>
      </w:r>
      <w:r w:rsidRPr="007E5A52">
        <w:rPr>
          <w:rFonts w:cs="Times New Roman"/>
          <w:sz w:val="24"/>
          <w:szCs w:val="24"/>
        </w:rPr>
        <w:t xml:space="preserve"> or “successful capitalists” present the most novel </w:t>
      </w:r>
      <w:r>
        <w:rPr>
          <w:rFonts w:cs="Times New Roman"/>
          <w:sz w:val="24"/>
          <w:szCs w:val="24"/>
        </w:rPr>
        <w:t xml:space="preserve">category of disclosures </w:t>
      </w:r>
      <w:r w:rsidRPr="007E5A52">
        <w:rPr>
          <w:rFonts w:cs="Times New Roman"/>
          <w:sz w:val="24"/>
          <w:szCs w:val="24"/>
        </w:rPr>
        <w:t xml:space="preserve">to date. </w:t>
      </w:r>
      <w:r>
        <w:rPr>
          <w:rFonts w:cs="Times New Roman"/>
          <w:sz w:val="24"/>
          <w:szCs w:val="24"/>
        </w:rPr>
        <w:t>In Bulgaria, t</w:t>
      </w:r>
      <w:r w:rsidRPr="007E5A52">
        <w:rPr>
          <w:rFonts w:cs="Times New Roman"/>
          <w:sz w:val="24"/>
          <w:szCs w:val="24"/>
        </w:rPr>
        <w:t xml:space="preserve">he focus </w:t>
      </w:r>
      <w:r>
        <w:rPr>
          <w:rFonts w:cs="Times New Roman"/>
          <w:sz w:val="24"/>
          <w:szCs w:val="24"/>
        </w:rPr>
        <w:t xml:space="preserve">of this series of lustration initiatives was </w:t>
      </w:r>
      <w:r w:rsidRPr="007E5A52">
        <w:rPr>
          <w:rFonts w:cs="Times New Roman"/>
          <w:sz w:val="24"/>
          <w:szCs w:val="24"/>
        </w:rPr>
        <w:t>on “</w:t>
      </w:r>
      <w:r>
        <w:rPr>
          <w:rFonts w:eastAsia="Times New Roman" w:cs="Times New Roman"/>
          <w:sz w:val="24"/>
          <w:szCs w:val="24"/>
        </w:rPr>
        <w:t>t</w:t>
      </w:r>
      <w:r w:rsidRPr="007E5A52">
        <w:rPr>
          <w:rFonts w:eastAsia="Times New Roman" w:cs="Times New Roman"/>
          <w:sz w:val="24"/>
          <w:szCs w:val="24"/>
        </w:rPr>
        <w:t>hose who got rich through dark deeds as commu</w:t>
      </w:r>
      <w:r>
        <w:rPr>
          <w:rFonts w:eastAsia="Times New Roman" w:cs="Times New Roman"/>
          <w:sz w:val="24"/>
          <w:szCs w:val="24"/>
        </w:rPr>
        <w:t>nism came to an end in Bulgaria,</w:t>
      </w:r>
      <w:r w:rsidRPr="007E5A52">
        <w:rPr>
          <w:rFonts w:eastAsia="Times New Roman" w:cs="Times New Roman"/>
          <w:sz w:val="24"/>
          <w:szCs w:val="24"/>
        </w:rPr>
        <w:t>”</w:t>
      </w:r>
      <w:r w:rsidRPr="004975A2">
        <w:rPr>
          <w:rStyle w:val="EndnoteReference"/>
          <w:rFonts w:cs="Times New Roman"/>
          <w:sz w:val="24"/>
          <w:szCs w:val="24"/>
        </w:rPr>
        <w:t xml:space="preserve"> </w:t>
      </w:r>
      <w:r>
        <w:rPr>
          <w:rFonts w:cs="Times New Roman"/>
          <w:sz w:val="24"/>
          <w:szCs w:val="24"/>
        </w:rPr>
        <w:t xml:space="preserve">in other words, </w:t>
      </w:r>
      <w:r w:rsidRPr="007E5A52">
        <w:rPr>
          <w:rFonts w:cs="Times New Roman"/>
          <w:sz w:val="24"/>
          <w:szCs w:val="24"/>
        </w:rPr>
        <w:t xml:space="preserve">people </w:t>
      </w:r>
      <w:r>
        <w:rPr>
          <w:rFonts w:cs="Times New Roman"/>
          <w:sz w:val="24"/>
          <w:szCs w:val="24"/>
        </w:rPr>
        <w:t xml:space="preserve">with financial market connections </w:t>
      </w:r>
      <w:r w:rsidRPr="007E5A52">
        <w:rPr>
          <w:rFonts w:cs="Times New Roman"/>
          <w:sz w:val="24"/>
          <w:szCs w:val="24"/>
        </w:rPr>
        <w:t xml:space="preserve">who </w:t>
      </w:r>
      <w:r>
        <w:rPr>
          <w:rFonts w:cs="Times New Roman"/>
          <w:sz w:val="24"/>
          <w:szCs w:val="24"/>
        </w:rPr>
        <w:t>used their positions to siphon</w:t>
      </w:r>
      <w:r w:rsidRPr="007E5A52">
        <w:rPr>
          <w:rFonts w:cs="Times New Roman"/>
          <w:sz w:val="24"/>
          <w:szCs w:val="24"/>
        </w:rPr>
        <w:t xml:space="preserve"> off wealth during the turb</w:t>
      </w:r>
      <w:r>
        <w:rPr>
          <w:rFonts w:cs="Times New Roman"/>
          <w:sz w:val="24"/>
          <w:szCs w:val="24"/>
        </w:rPr>
        <w:t xml:space="preserve">ulent economic </w:t>
      </w:r>
      <w:proofErr w:type="gramStart"/>
      <w:r>
        <w:rPr>
          <w:rFonts w:cs="Times New Roman"/>
          <w:sz w:val="24"/>
          <w:szCs w:val="24"/>
        </w:rPr>
        <w:t>transition  (</w:t>
      </w:r>
      <w:proofErr w:type="gramEnd"/>
      <w:r>
        <w:rPr>
          <w:rFonts w:cs="Times New Roman"/>
          <w:sz w:val="24"/>
          <w:szCs w:val="24"/>
        </w:rPr>
        <w:t>Sofia Echo 2012, February 24).</w:t>
      </w:r>
      <w:r w:rsidRPr="00265BA6">
        <w:rPr>
          <w:rStyle w:val="EndnoteReference"/>
          <w:rFonts w:cs="Times New Roman"/>
          <w:sz w:val="24"/>
          <w:szCs w:val="24"/>
        </w:rPr>
        <w:t xml:space="preserve"> </w:t>
      </w:r>
      <w:r w:rsidRPr="007E5A52">
        <w:rPr>
          <w:rFonts w:cs="Times New Roman"/>
          <w:sz w:val="24"/>
          <w:szCs w:val="24"/>
        </w:rPr>
        <w:t xml:space="preserve">This includes traders, managers of banks, members of management of </w:t>
      </w:r>
      <w:r>
        <w:rPr>
          <w:rFonts w:cs="Times New Roman"/>
          <w:sz w:val="24"/>
          <w:szCs w:val="24"/>
        </w:rPr>
        <w:t>supervisory bodies of companies,</w:t>
      </w:r>
      <w:r w:rsidRPr="007E5A52">
        <w:rPr>
          <w:rFonts w:cs="Times New Roman"/>
          <w:sz w:val="24"/>
          <w:szCs w:val="24"/>
        </w:rPr>
        <w:t xml:space="preserve">  insurers and reinsurers, stock exchang</w:t>
      </w:r>
      <w:r w:rsidRPr="00860B92">
        <w:rPr>
          <w:rFonts w:cs="Times New Roman"/>
          <w:sz w:val="24"/>
          <w:szCs w:val="24"/>
        </w:rPr>
        <w:t>es, public companies, organized and informal securities market and investment firms</w:t>
      </w:r>
      <w:r>
        <w:rPr>
          <w:rFonts w:cs="Times New Roman"/>
          <w:sz w:val="24"/>
          <w:szCs w:val="24"/>
        </w:rPr>
        <w:t xml:space="preserve"> (</w:t>
      </w:r>
      <w:proofErr w:type="spellStart"/>
      <w:r w:rsidRPr="009C1C82">
        <w:rPr>
          <w:sz w:val="24"/>
          <w:szCs w:val="24"/>
        </w:rPr>
        <w:t>Leviev</w:t>
      </w:r>
      <w:proofErr w:type="spellEnd"/>
      <w:r w:rsidRPr="009C1C82">
        <w:rPr>
          <w:sz w:val="24"/>
          <w:szCs w:val="24"/>
        </w:rPr>
        <w:t>-Sawyer</w:t>
      </w:r>
      <w:r>
        <w:rPr>
          <w:sz w:val="24"/>
          <w:szCs w:val="24"/>
        </w:rPr>
        <w:t xml:space="preserve"> 2011)</w:t>
      </w:r>
      <w:r w:rsidRPr="00860B92">
        <w:rPr>
          <w:rFonts w:cs="Times New Roman"/>
          <w:sz w:val="24"/>
          <w:szCs w:val="24"/>
        </w:rPr>
        <w:t xml:space="preserve">.  </w:t>
      </w:r>
      <w:r>
        <w:rPr>
          <w:rFonts w:cs="Times New Roman"/>
          <w:sz w:val="24"/>
          <w:szCs w:val="24"/>
        </w:rPr>
        <w:t>While s</w:t>
      </w:r>
      <w:r w:rsidRPr="00860B92">
        <w:rPr>
          <w:rFonts w:cs="Times New Roman"/>
          <w:sz w:val="24"/>
          <w:szCs w:val="24"/>
        </w:rPr>
        <w:t xml:space="preserve">upport for the initiative was overwhelming, with </w:t>
      </w:r>
      <w:r>
        <w:rPr>
          <w:rFonts w:cs="Times New Roman"/>
          <w:sz w:val="24"/>
          <w:szCs w:val="24"/>
        </w:rPr>
        <w:t>Parliament</w:t>
      </w:r>
      <w:r w:rsidRPr="00860B92">
        <w:rPr>
          <w:rFonts w:cs="Times New Roman"/>
          <w:sz w:val="24"/>
          <w:szCs w:val="24"/>
        </w:rPr>
        <w:t xml:space="preserve"> unanimously</w:t>
      </w:r>
      <w:r>
        <w:rPr>
          <w:rFonts w:cs="Times New Roman"/>
          <w:sz w:val="24"/>
          <w:szCs w:val="24"/>
        </w:rPr>
        <w:t xml:space="preserve"> voting</w:t>
      </w:r>
      <w:r w:rsidRPr="00860B92">
        <w:rPr>
          <w:rFonts w:cs="Times New Roman"/>
          <w:sz w:val="24"/>
          <w:szCs w:val="24"/>
        </w:rPr>
        <w:t xml:space="preserve"> </w:t>
      </w:r>
      <w:r>
        <w:rPr>
          <w:rFonts w:cs="Times New Roman"/>
          <w:sz w:val="24"/>
          <w:szCs w:val="24"/>
        </w:rPr>
        <w:t>to empower the</w:t>
      </w:r>
      <w:r w:rsidRPr="00860B92">
        <w:rPr>
          <w:rFonts w:cs="Times New Roman"/>
          <w:sz w:val="24"/>
          <w:szCs w:val="24"/>
        </w:rPr>
        <w:t xml:space="preserve"> Dossier Commission </w:t>
      </w:r>
      <w:r>
        <w:rPr>
          <w:rFonts w:cs="Times New Roman"/>
          <w:sz w:val="24"/>
          <w:szCs w:val="24"/>
        </w:rPr>
        <w:t>with the ability to</w:t>
      </w:r>
      <w:r w:rsidRPr="00860B92">
        <w:rPr>
          <w:rFonts w:cs="Times New Roman"/>
          <w:sz w:val="24"/>
          <w:szCs w:val="24"/>
        </w:rPr>
        <w:t xml:space="preserve"> investigate this </w:t>
      </w:r>
      <w:r>
        <w:rPr>
          <w:rFonts w:cs="Times New Roman"/>
          <w:sz w:val="24"/>
          <w:szCs w:val="24"/>
        </w:rPr>
        <w:t xml:space="preserve">social </w:t>
      </w:r>
      <w:r w:rsidRPr="00860B92">
        <w:rPr>
          <w:rFonts w:cs="Times New Roman"/>
          <w:sz w:val="24"/>
          <w:szCs w:val="24"/>
        </w:rPr>
        <w:t>class</w:t>
      </w:r>
      <w:r>
        <w:rPr>
          <w:rFonts w:cs="Times New Roman"/>
          <w:sz w:val="24"/>
          <w:szCs w:val="24"/>
        </w:rPr>
        <w:t>, as of 2013 it still lacked final approval and it was uncertain if it could pass constitutional court reviews (Sofia Echo 2012, April 4)</w:t>
      </w:r>
      <w:r w:rsidRPr="00860B92">
        <w:rPr>
          <w:rFonts w:cs="Times New Roman"/>
          <w:sz w:val="24"/>
          <w:szCs w:val="24"/>
        </w:rPr>
        <w:t xml:space="preserve">. </w:t>
      </w:r>
      <w:r w:rsidRPr="00194B79">
        <w:rPr>
          <w:rFonts w:eastAsia="Times New Roman" w:cs="Times New Roman"/>
          <w:sz w:val="24"/>
          <w:szCs w:val="24"/>
        </w:rPr>
        <w:t xml:space="preserve">Nonetheless, the motion is popular, tapping into the widespread disappointment citizens feel </w:t>
      </w:r>
      <w:r>
        <w:rPr>
          <w:rFonts w:eastAsia="Times New Roman" w:cs="Times New Roman"/>
          <w:sz w:val="24"/>
          <w:szCs w:val="24"/>
        </w:rPr>
        <w:t xml:space="preserve">with the current political system and the </w:t>
      </w:r>
      <w:r w:rsidRPr="00194B79">
        <w:rPr>
          <w:rFonts w:eastAsia="Times New Roman" w:cs="Times New Roman"/>
          <w:sz w:val="24"/>
          <w:szCs w:val="24"/>
        </w:rPr>
        <w:t>high levels of corruption and perceived unequal gains from the transition</w:t>
      </w:r>
      <w:r>
        <w:rPr>
          <w:rFonts w:eastAsia="Times New Roman" w:cs="Times New Roman"/>
          <w:sz w:val="24"/>
          <w:szCs w:val="24"/>
        </w:rPr>
        <w:t xml:space="preserve"> (Center for the Study of Democracy 2012).</w:t>
      </w:r>
      <w:r w:rsidRPr="00194B79">
        <w:rPr>
          <w:rStyle w:val="EndnoteReference"/>
          <w:rFonts w:eastAsia="Times New Roman" w:cs="Times New Roman"/>
          <w:sz w:val="24"/>
          <w:szCs w:val="24"/>
        </w:rPr>
        <w:endnoteReference w:id="50"/>
      </w:r>
      <w:r w:rsidRPr="00194B79">
        <w:rPr>
          <w:rFonts w:eastAsia="Times New Roman" w:cs="Times New Roman"/>
          <w:sz w:val="24"/>
          <w:szCs w:val="24"/>
        </w:rPr>
        <w:t xml:space="preserve">  </w:t>
      </w:r>
    </w:p>
    <w:p w:rsidR="0064274E" w:rsidRPr="00194B79" w:rsidRDefault="00E2229D" w:rsidP="002A643A">
      <w:pPr>
        <w:spacing w:after="0" w:line="480" w:lineRule="auto"/>
        <w:ind w:firstLine="720"/>
        <w:rPr>
          <w:rFonts w:eastAsia="Times New Roman" w:cs="Times New Roman"/>
          <w:sz w:val="24"/>
          <w:szCs w:val="24"/>
        </w:rPr>
      </w:pPr>
      <w:r>
        <w:rPr>
          <w:rFonts w:eastAsia="Times New Roman" w:cs="Times New Roman"/>
          <w:sz w:val="24"/>
          <w:szCs w:val="24"/>
        </w:rPr>
        <w:lastRenderedPageBreak/>
        <w:t xml:space="preserve">Although Romania does not have a formal “credit millionaire” lustration category, C.N.S.A.S. has similarly </w:t>
      </w:r>
      <w:r w:rsidR="00DD1E5F">
        <w:rPr>
          <w:rFonts w:eastAsia="Times New Roman" w:cs="Times New Roman"/>
          <w:sz w:val="24"/>
          <w:szCs w:val="24"/>
        </w:rPr>
        <w:t xml:space="preserve">investigated businessmen </w:t>
      </w:r>
      <w:r>
        <w:rPr>
          <w:rFonts w:eastAsia="Times New Roman" w:cs="Times New Roman"/>
          <w:sz w:val="24"/>
          <w:szCs w:val="24"/>
        </w:rPr>
        <w:t>and media magnets for evidence of questionable wealth and political access derived from their previous networks under the communist system.</w:t>
      </w:r>
      <w:r>
        <w:rPr>
          <w:rStyle w:val="EndnoteReference"/>
          <w:rFonts w:eastAsia="Times New Roman" w:cs="Times New Roman"/>
          <w:sz w:val="24"/>
          <w:szCs w:val="24"/>
        </w:rPr>
        <w:endnoteReference w:id="51"/>
      </w:r>
      <w:r>
        <w:rPr>
          <w:rFonts w:eastAsia="Times New Roman" w:cs="Times New Roman"/>
          <w:sz w:val="24"/>
          <w:szCs w:val="24"/>
        </w:rPr>
        <w:t xml:space="preserve">  T</w:t>
      </w:r>
      <w:r w:rsidR="00FC6AD8">
        <w:rPr>
          <w:rFonts w:eastAsia="Times New Roman" w:cs="Times New Roman"/>
          <w:sz w:val="24"/>
          <w:szCs w:val="24"/>
        </w:rPr>
        <w:t xml:space="preserve">he provocative </w:t>
      </w:r>
      <w:r>
        <w:rPr>
          <w:rFonts w:eastAsia="Times New Roman" w:cs="Times New Roman"/>
          <w:sz w:val="24"/>
          <w:szCs w:val="24"/>
        </w:rPr>
        <w:t xml:space="preserve">investigations of politically powerful millionaires </w:t>
      </w:r>
      <w:proofErr w:type="spellStart"/>
      <w:r w:rsidR="00323DCF">
        <w:rPr>
          <w:rFonts w:cs="Times New Roman"/>
          <w:color w:val="252525"/>
          <w:sz w:val="24"/>
          <w:szCs w:val="24"/>
          <w:shd w:val="clear" w:color="auto" w:fill="FFFFFF"/>
        </w:rPr>
        <w:t>Dinu</w:t>
      </w:r>
      <w:proofErr w:type="spellEnd"/>
      <w:r w:rsidR="00323DCF">
        <w:rPr>
          <w:rFonts w:cs="Times New Roman"/>
          <w:color w:val="252525"/>
          <w:sz w:val="24"/>
          <w:szCs w:val="24"/>
          <w:shd w:val="clear" w:color="auto" w:fill="FFFFFF"/>
        </w:rPr>
        <w:t xml:space="preserve"> </w:t>
      </w:r>
      <w:proofErr w:type="spellStart"/>
      <w:r w:rsidR="00323DCF">
        <w:rPr>
          <w:rFonts w:cs="Times New Roman"/>
          <w:color w:val="252525"/>
          <w:sz w:val="24"/>
          <w:szCs w:val="24"/>
          <w:shd w:val="clear" w:color="auto" w:fill="FFFFFF"/>
        </w:rPr>
        <w:t>Patriciu</w:t>
      </w:r>
      <w:proofErr w:type="spellEnd"/>
      <w:r w:rsidR="00323DCF">
        <w:rPr>
          <w:rFonts w:cs="Times New Roman"/>
          <w:color w:val="252525"/>
          <w:sz w:val="24"/>
          <w:szCs w:val="24"/>
          <w:shd w:val="clear" w:color="auto" w:fill="FFFFFF"/>
        </w:rPr>
        <w:t xml:space="preserve"> and </w:t>
      </w:r>
      <w:proofErr w:type="spellStart"/>
      <w:r w:rsidR="00323DCF">
        <w:rPr>
          <w:rFonts w:cs="Times New Roman"/>
          <w:color w:val="252525"/>
          <w:sz w:val="24"/>
          <w:szCs w:val="24"/>
          <w:shd w:val="clear" w:color="auto" w:fill="FFFFFF"/>
        </w:rPr>
        <w:t>Gigi</w:t>
      </w:r>
      <w:proofErr w:type="spellEnd"/>
      <w:r w:rsidR="00323DCF">
        <w:rPr>
          <w:rFonts w:cs="Times New Roman"/>
          <w:color w:val="252525"/>
          <w:sz w:val="24"/>
          <w:szCs w:val="24"/>
          <w:shd w:val="clear" w:color="auto" w:fill="FFFFFF"/>
        </w:rPr>
        <w:t xml:space="preserve"> </w:t>
      </w:r>
      <w:proofErr w:type="spellStart"/>
      <w:r w:rsidR="00323DCF">
        <w:rPr>
          <w:rFonts w:cs="Times New Roman"/>
          <w:color w:val="252525"/>
          <w:sz w:val="24"/>
          <w:szCs w:val="24"/>
          <w:shd w:val="clear" w:color="auto" w:fill="FFFFFF"/>
        </w:rPr>
        <w:t>Becali</w:t>
      </w:r>
      <w:proofErr w:type="spellEnd"/>
      <w:r w:rsidR="00D66675">
        <w:rPr>
          <w:rFonts w:cs="Times New Roman"/>
          <w:color w:val="252525"/>
          <w:sz w:val="24"/>
          <w:szCs w:val="24"/>
          <w:shd w:val="clear" w:color="auto" w:fill="FFFFFF"/>
        </w:rPr>
        <w:t xml:space="preserve"> </w:t>
      </w:r>
      <w:r>
        <w:rPr>
          <w:rFonts w:cs="Times New Roman"/>
          <w:color w:val="252525"/>
          <w:sz w:val="24"/>
          <w:szCs w:val="24"/>
          <w:shd w:val="clear" w:color="auto" w:fill="FFFFFF"/>
        </w:rPr>
        <w:t xml:space="preserve">galvanized the public, drawing attention to the way former regime privileges could translate into current positions of power </w:t>
      </w:r>
      <w:r w:rsidR="00D66675">
        <w:rPr>
          <w:rFonts w:cs="Times New Roman"/>
          <w:color w:val="252525"/>
          <w:sz w:val="24"/>
          <w:szCs w:val="24"/>
          <w:shd w:val="clear" w:color="auto" w:fill="FFFFFF"/>
        </w:rPr>
        <w:t xml:space="preserve">(Nine </w:t>
      </w:r>
      <w:proofErr w:type="spellStart"/>
      <w:r w:rsidR="00D66675">
        <w:rPr>
          <w:rFonts w:cs="Times New Roman"/>
          <w:color w:val="252525"/>
          <w:sz w:val="24"/>
          <w:szCs w:val="24"/>
          <w:shd w:val="clear" w:color="auto" w:fill="FFFFFF"/>
        </w:rPr>
        <w:t>O’Clock</w:t>
      </w:r>
      <w:proofErr w:type="spellEnd"/>
      <w:r w:rsidR="00D66675">
        <w:rPr>
          <w:rFonts w:cs="Times New Roman"/>
          <w:color w:val="252525"/>
          <w:sz w:val="24"/>
          <w:szCs w:val="24"/>
          <w:shd w:val="clear" w:color="auto" w:fill="FFFFFF"/>
        </w:rPr>
        <w:t xml:space="preserve"> 2013;</w:t>
      </w:r>
      <w:r w:rsidR="00DD1E5F">
        <w:rPr>
          <w:rFonts w:cs="Times New Roman"/>
          <w:color w:val="252525"/>
          <w:sz w:val="24"/>
          <w:szCs w:val="24"/>
          <w:shd w:val="clear" w:color="auto" w:fill="FFFFFF"/>
        </w:rPr>
        <w:t xml:space="preserve"> Nine </w:t>
      </w:r>
      <w:proofErr w:type="spellStart"/>
      <w:r w:rsidR="00DD1E5F">
        <w:rPr>
          <w:rFonts w:cs="Times New Roman"/>
          <w:color w:val="252525"/>
          <w:sz w:val="24"/>
          <w:szCs w:val="24"/>
          <w:shd w:val="clear" w:color="auto" w:fill="FFFFFF"/>
        </w:rPr>
        <w:t>O’Clock</w:t>
      </w:r>
      <w:proofErr w:type="spellEnd"/>
      <w:r w:rsidR="00DD1E5F">
        <w:rPr>
          <w:rFonts w:cs="Times New Roman"/>
          <w:color w:val="252525"/>
          <w:sz w:val="24"/>
          <w:szCs w:val="24"/>
          <w:shd w:val="clear" w:color="auto" w:fill="FFFFFF"/>
        </w:rPr>
        <w:t xml:space="preserve"> 2012</w:t>
      </w:r>
      <w:r w:rsidR="008D4197">
        <w:rPr>
          <w:rFonts w:cs="Times New Roman"/>
          <w:color w:val="252525"/>
          <w:sz w:val="24"/>
          <w:szCs w:val="24"/>
          <w:shd w:val="clear" w:color="auto" w:fill="FFFFFF"/>
        </w:rPr>
        <w:t>)</w:t>
      </w:r>
      <w:r w:rsidR="002A643A">
        <w:rPr>
          <w:rFonts w:eastAsia="Times New Roman" w:cs="Times New Roman"/>
          <w:sz w:val="24"/>
          <w:szCs w:val="24"/>
        </w:rPr>
        <w:t>.</w:t>
      </w:r>
      <w:r w:rsidR="00323DCF">
        <w:rPr>
          <w:rStyle w:val="EndnoteReference"/>
          <w:rFonts w:eastAsia="Times New Roman" w:cs="Times New Roman"/>
          <w:sz w:val="24"/>
          <w:szCs w:val="24"/>
        </w:rPr>
        <w:endnoteReference w:id="52"/>
      </w:r>
      <w:r w:rsidR="000479F6">
        <w:rPr>
          <w:rFonts w:eastAsia="Times New Roman" w:cs="Times New Roman"/>
          <w:sz w:val="24"/>
          <w:szCs w:val="24"/>
        </w:rPr>
        <w:t xml:space="preserve"> </w:t>
      </w:r>
      <w:r w:rsidR="00FC6AD8">
        <w:rPr>
          <w:rFonts w:eastAsia="Times New Roman" w:cs="Times New Roman"/>
          <w:sz w:val="24"/>
          <w:szCs w:val="24"/>
        </w:rPr>
        <w:t xml:space="preserve"> In </w:t>
      </w:r>
      <w:r w:rsidR="00DD1E5F">
        <w:rPr>
          <w:rFonts w:eastAsia="Times New Roman" w:cs="Times New Roman"/>
          <w:sz w:val="24"/>
          <w:szCs w:val="24"/>
        </w:rPr>
        <w:t xml:space="preserve">particular, the case of Dan </w:t>
      </w:r>
      <w:proofErr w:type="spellStart"/>
      <w:r w:rsidR="008C4018">
        <w:rPr>
          <w:rFonts w:eastAsia="Times New Roman" w:cs="Times New Roman"/>
          <w:sz w:val="24"/>
          <w:szCs w:val="24"/>
        </w:rPr>
        <w:t>Voiculescu</w:t>
      </w:r>
      <w:proofErr w:type="spellEnd"/>
      <w:r w:rsidR="002A643A">
        <w:rPr>
          <w:rFonts w:eastAsia="Times New Roman" w:cs="Times New Roman"/>
          <w:sz w:val="24"/>
          <w:szCs w:val="24"/>
        </w:rPr>
        <w:t xml:space="preserve"> </w:t>
      </w:r>
      <w:r w:rsidR="00DD1E5F" w:rsidRPr="00982C06">
        <w:rPr>
          <w:rFonts w:cs="Times New Roman"/>
          <w:color w:val="252525"/>
          <w:sz w:val="24"/>
          <w:szCs w:val="24"/>
          <w:shd w:val="clear" w:color="auto" w:fill="FFFFFF"/>
        </w:rPr>
        <w:t xml:space="preserve">demonstrates the </w:t>
      </w:r>
      <w:r w:rsidR="00FC6AD8">
        <w:rPr>
          <w:rFonts w:cs="Times New Roman"/>
          <w:color w:val="252525"/>
          <w:sz w:val="24"/>
          <w:szCs w:val="24"/>
          <w:shd w:val="clear" w:color="auto" w:fill="FFFFFF"/>
        </w:rPr>
        <w:t>links between current</w:t>
      </w:r>
      <w:r w:rsidR="00DD1E5F" w:rsidRPr="00982C06">
        <w:rPr>
          <w:rFonts w:cs="Times New Roman"/>
          <w:color w:val="252525"/>
          <w:sz w:val="24"/>
          <w:szCs w:val="24"/>
          <w:shd w:val="clear" w:color="auto" w:fill="FFFFFF"/>
        </w:rPr>
        <w:t xml:space="preserve"> political and economic influence </w:t>
      </w:r>
      <w:r w:rsidR="00FC6AD8">
        <w:rPr>
          <w:rFonts w:cs="Times New Roman"/>
          <w:color w:val="252525"/>
          <w:sz w:val="24"/>
          <w:szCs w:val="24"/>
          <w:shd w:val="clear" w:color="auto" w:fill="FFFFFF"/>
        </w:rPr>
        <w:t>and</w:t>
      </w:r>
      <w:r w:rsidR="00DD1E5F" w:rsidRPr="00982C06">
        <w:rPr>
          <w:rFonts w:cs="Times New Roman"/>
          <w:color w:val="252525"/>
          <w:sz w:val="24"/>
          <w:szCs w:val="24"/>
          <w:shd w:val="clear" w:color="auto" w:fill="FFFFFF"/>
        </w:rPr>
        <w:t xml:space="preserve"> former Securitate</w:t>
      </w:r>
      <w:r w:rsidR="008C4018">
        <w:rPr>
          <w:rFonts w:cs="Times New Roman"/>
          <w:color w:val="252525"/>
          <w:sz w:val="24"/>
          <w:szCs w:val="24"/>
          <w:shd w:val="clear" w:color="auto" w:fill="FFFFFF"/>
        </w:rPr>
        <w:t xml:space="preserve"> network</w:t>
      </w:r>
      <w:r w:rsidR="00FC6AD8">
        <w:rPr>
          <w:rFonts w:cs="Times New Roman"/>
          <w:color w:val="252525"/>
          <w:sz w:val="24"/>
          <w:szCs w:val="24"/>
          <w:shd w:val="clear" w:color="auto" w:fill="FFFFFF"/>
        </w:rPr>
        <w:t>s</w:t>
      </w:r>
      <w:r w:rsidR="00DD1E5F">
        <w:rPr>
          <w:rFonts w:cs="Times New Roman"/>
          <w:color w:val="252525"/>
          <w:sz w:val="24"/>
          <w:szCs w:val="24"/>
          <w:shd w:val="clear" w:color="auto" w:fill="FFFFFF"/>
        </w:rPr>
        <w:t xml:space="preserve">. </w:t>
      </w:r>
      <w:r w:rsidR="00FC6AD8">
        <w:rPr>
          <w:rFonts w:cs="Times New Roman"/>
          <w:color w:val="252525"/>
          <w:sz w:val="24"/>
          <w:szCs w:val="24"/>
          <w:shd w:val="clear" w:color="auto" w:fill="FFFFFF"/>
        </w:rPr>
        <w:t xml:space="preserve">C.N.S.A.S. revealed that </w:t>
      </w:r>
      <w:proofErr w:type="spellStart"/>
      <w:proofErr w:type="gramStart"/>
      <w:r w:rsidR="00DD1E5F" w:rsidRPr="00982C06">
        <w:rPr>
          <w:rFonts w:cs="Times New Roman"/>
          <w:color w:val="252525"/>
          <w:sz w:val="24"/>
          <w:szCs w:val="24"/>
          <w:shd w:val="clear" w:color="auto" w:fill="FFFFFF"/>
        </w:rPr>
        <w:t>Voiculescu</w:t>
      </w:r>
      <w:proofErr w:type="spellEnd"/>
      <w:r w:rsidR="00DD1E5F">
        <w:rPr>
          <w:rFonts w:eastAsia="Times New Roman" w:cs="Times New Roman"/>
          <w:sz w:val="24"/>
          <w:szCs w:val="24"/>
        </w:rPr>
        <w:t xml:space="preserve"> ,</w:t>
      </w:r>
      <w:proofErr w:type="gramEnd"/>
      <w:r w:rsidR="008C4018">
        <w:rPr>
          <w:rFonts w:eastAsia="Times New Roman" w:cs="Times New Roman"/>
          <w:sz w:val="24"/>
          <w:szCs w:val="24"/>
        </w:rPr>
        <w:t xml:space="preserve"> </w:t>
      </w:r>
      <w:r w:rsidR="00DD1E5F">
        <w:rPr>
          <w:rFonts w:eastAsia="Times New Roman" w:cs="Times New Roman"/>
          <w:sz w:val="24"/>
          <w:szCs w:val="24"/>
        </w:rPr>
        <w:t xml:space="preserve">one of the richest men in Romania and a </w:t>
      </w:r>
      <w:r w:rsidR="002A643A">
        <w:rPr>
          <w:rFonts w:eastAsia="Times New Roman" w:cs="Times New Roman"/>
          <w:sz w:val="24"/>
          <w:szCs w:val="24"/>
        </w:rPr>
        <w:t>Conservative Party Senator until his resignation in 2012</w:t>
      </w:r>
      <w:r w:rsidR="00DD1E5F">
        <w:rPr>
          <w:rFonts w:eastAsia="Times New Roman" w:cs="Times New Roman"/>
          <w:sz w:val="24"/>
          <w:szCs w:val="24"/>
        </w:rPr>
        <w:t xml:space="preserve">, </w:t>
      </w:r>
      <w:r w:rsidR="002A643A">
        <w:rPr>
          <w:rFonts w:eastAsia="Times New Roman" w:cs="Times New Roman"/>
          <w:sz w:val="24"/>
          <w:szCs w:val="24"/>
        </w:rPr>
        <w:t xml:space="preserve">was </w:t>
      </w:r>
      <w:r w:rsidR="00FC6AD8">
        <w:rPr>
          <w:rFonts w:eastAsia="Times New Roman" w:cs="Times New Roman"/>
          <w:sz w:val="24"/>
          <w:szCs w:val="24"/>
        </w:rPr>
        <w:t xml:space="preserve">a </w:t>
      </w:r>
      <w:r w:rsidR="002A643A">
        <w:rPr>
          <w:rFonts w:eastAsia="Times New Roman" w:cs="Times New Roman"/>
          <w:sz w:val="24"/>
          <w:szCs w:val="24"/>
        </w:rPr>
        <w:t xml:space="preserve">former collaborator with the </w:t>
      </w:r>
      <w:r w:rsidR="002A643A" w:rsidRPr="00982C06">
        <w:rPr>
          <w:rFonts w:eastAsia="Times New Roman" w:cs="Times New Roman"/>
          <w:sz w:val="24"/>
          <w:szCs w:val="24"/>
        </w:rPr>
        <w:t>Securitate</w:t>
      </w:r>
      <w:r w:rsidR="005A7563" w:rsidRPr="00982C06">
        <w:rPr>
          <w:rFonts w:eastAsia="Times New Roman" w:cs="Times New Roman"/>
          <w:sz w:val="24"/>
          <w:szCs w:val="24"/>
        </w:rPr>
        <w:t xml:space="preserve"> </w:t>
      </w:r>
      <w:r w:rsidR="005A7563" w:rsidRPr="00982C06">
        <w:rPr>
          <w:rFonts w:cs="Times New Roman"/>
          <w:color w:val="252525"/>
          <w:sz w:val="24"/>
          <w:szCs w:val="24"/>
          <w:shd w:val="clear" w:color="auto" w:fill="FFFFFF"/>
        </w:rPr>
        <w:t>(BBC 2006)</w:t>
      </w:r>
      <w:r w:rsidR="002A643A" w:rsidRPr="00982C06">
        <w:rPr>
          <w:rFonts w:eastAsia="Times New Roman" w:cs="Times New Roman"/>
          <w:sz w:val="24"/>
          <w:szCs w:val="24"/>
        </w:rPr>
        <w:t xml:space="preserve">.  This revelation prevented him from </w:t>
      </w:r>
      <w:r w:rsidR="00FC6AD8">
        <w:rPr>
          <w:rFonts w:eastAsia="Times New Roman" w:cs="Times New Roman"/>
          <w:sz w:val="24"/>
          <w:szCs w:val="24"/>
        </w:rPr>
        <w:t>an appointment</w:t>
      </w:r>
      <w:r w:rsidR="002A643A" w:rsidRPr="00982C06">
        <w:rPr>
          <w:rFonts w:eastAsia="Times New Roman" w:cs="Times New Roman"/>
          <w:sz w:val="24"/>
          <w:szCs w:val="24"/>
        </w:rPr>
        <w:t xml:space="preserve"> in </w:t>
      </w:r>
      <w:r w:rsidR="00FC6AD8">
        <w:rPr>
          <w:rFonts w:eastAsia="Times New Roman" w:cs="Times New Roman"/>
          <w:sz w:val="24"/>
          <w:szCs w:val="24"/>
        </w:rPr>
        <w:t xml:space="preserve">the </w:t>
      </w:r>
      <w:proofErr w:type="spellStart"/>
      <w:r w:rsidR="002A643A" w:rsidRPr="00982C06">
        <w:rPr>
          <w:rFonts w:cs="Times New Roman"/>
          <w:color w:val="252525"/>
          <w:sz w:val="24"/>
          <w:szCs w:val="24"/>
          <w:shd w:val="clear" w:color="auto" w:fill="FFFFFF"/>
        </w:rPr>
        <w:t>Popescu-Tăriceanu</w:t>
      </w:r>
      <w:proofErr w:type="spellEnd"/>
      <w:r w:rsidR="002A643A" w:rsidRPr="00982C06">
        <w:rPr>
          <w:rFonts w:cs="Times New Roman"/>
          <w:color w:val="252525"/>
          <w:sz w:val="24"/>
          <w:szCs w:val="24"/>
          <w:shd w:val="clear" w:color="auto" w:fill="FFFFFF"/>
        </w:rPr>
        <w:t xml:space="preserve"> government</w:t>
      </w:r>
      <w:r w:rsidR="008C4018">
        <w:rPr>
          <w:rFonts w:cs="Times New Roman"/>
          <w:color w:val="252525"/>
          <w:sz w:val="24"/>
          <w:szCs w:val="24"/>
          <w:shd w:val="clear" w:color="auto" w:fill="FFFFFF"/>
        </w:rPr>
        <w:t>, which he contested but lost on repeated appeal</w:t>
      </w:r>
      <w:r w:rsidR="005A7563" w:rsidRPr="00982C06">
        <w:rPr>
          <w:rFonts w:cs="Times New Roman"/>
          <w:color w:val="252525"/>
          <w:sz w:val="24"/>
          <w:szCs w:val="24"/>
          <w:shd w:val="clear" w:color="auto" w:fill="FFFFFF"/>
        </w:rPr>
        <w:t xml:space="preserve"> (Nine </w:t>
      </w:r>
      <w:proofErr w:type="spellStart"/>
      <w:r w:rsidR="005A7563" w:rsidRPr="00982C06">
        <w:rPr>
          <w:rFonts w:cs="Times New Roman"/>
          <w:color w:val="252525"/>
          <w:sz w:val="24"/>
          <w:szCs w:val="24"/>
          <w:shd w:val="clear" w:color="auto" w:fill="FFFFFF"/>
        </w:rPr>
        <w:t>O’Clock</w:t>
      </w:r>
      <w:proofErr w:type="spellEnd"/>
      <w:r w:rsidR="005A7563" w:rsidRPr="00982C06">
        <w:rPr>
          <w:rFonts w:cs="Times New Roman"/>
          <w:color w:val="252525"/>
          <w:sz w:val="24"/>
          <w:szCs w:val="24"/>
          <w:shd w:val="clear" w:color="auto" w:fill="FFFFFF"/>
        </w:rPr>
        <w:t xml:space="preserve"> 2011</w:t>
      </w:r>
      <w:r w:rsidR="00982C06" w:rsidRPr="00982C06">
        <w:rPr>
          <w:rFonts w:cs="Times New Roman"/>
          <w:color w:val="252525"/>
          <w:sz w:val="24"/>
          <w:szCs w:val="24"/>
          <w:shd w:val="clear" w:color="auto" w:fill="FFFFFF"/>
        </w:rPr>
        <w:t xml:space="preserve">; </w:t>
      </w:r>
      <w:proofErr w:type="spellStart"/>
      <w:r w:rsidR="00982C06" w:rsidRPr="00982C06">
        <w:rPr>
          <w:rFonts w:cs="Times New Roman"/>
          <w:color w:val="252525"/>
          <w:sz w:val="24"/>
          <w:szCs w:val="24"/>
          <w:shd w:val="clear" w:color="auto" w:fill="FFFFFF"/>
        </w:rPr>
        <w:t>Bogdan</w:t>
      </w:r>
      <w:proofErr w:type="spellEnd"/>
      <w:r w:rsidR="00982C06" w:rsidRPr="00982C06">
        <w:rPr>
          <w:rFonts w:cs="Times New Roman"/>
          <w:color w:val="252525"/>
          <w:sz w:val="24"/>
          <w:szCs w:val="24"/>
          <w:shd w:val="clear" w:color="auto" w:fill="FFFFFF"/>
        </w:rPr>
        <w:t xml:space="preserve"> 2011</w:t>
      </w:r>
      <w:r w:rsidR="005A7563" w:rsidRPr="00982C06">
        <w:rPr>
          <w:rFonts w:cs="Times New Roman"/>
          <w:color w:val="252525"/>
          <w:sz w:val="24"/>
          <w:szCs w:val="24"/>
          <w:shd w:val="clear" w:color="auto" w:fill="FFFFFF"/>
        </w:rPr>
        <w:t>)</w:t>
      </w:r>
      <w:r w:rsidR="002A643A" w:rsidRPr="00982C06">
        <w:rPr>
          <w:rFonts w:cs="Times New Roman"/>
          <w:color w:val="252525"/>
          <w:sz w:val="24"/>
          <w:szCs w:val="24"/>
          <w:shd w:val="clear" w:color="auto" w:fill="FFFFFF"/>
        </w:rPr>
        <w:t xml:space="preserve">. In addition, in 2013 he was found guilty of </w:t>
      </w:r>
      <w:r w:rsidR="008C4018">
        <w:rPr>
          <w:rFonts w:cs="Times New Roman"/>
          <w:color w:val="252525"/>
          <w:sz w:val="24"/>
          <w:szCs w:val="24"/>
          <w:shd w:val="clear" w:color="auto" w:fill="FFFFFF"/>
        </w:rPr>
        <w:t>fraud</w:t>
      </w:r>
      <w:r w:rsidR="00FC6AD8">
        <w:rPr>
          <w:rFonts w:cs="Times New Roman"/>
          <w:color w:val="252525"/>
          <w:sz w:val="24"/>
          <w:szCs w:val="24"/>
          <w:shd w:val="clear" w:color="auto" w:fill="FFFFFF"/>
        </w:rPr>
        <w:t xml:space="preserve"> in a </w:t>
      </w:r>
      <w:r w:rsidR="00597B7D">
        <w:rPr>
          <w:rFonts w:cs="Times New Roman"/>
          <w:color w:val="252525"/>
          <w:sz w:val="24"/>
          <w:szCs w:val="24"/>
          <w:shd w:val="clear" w:color="auto" w:fill="FFFFFF"/>
        </w:rPr>
        <w:t xml:space="preserve">separate </w:t>
      </w:r>
      <w:r w:rsidR="00FC6AD8">
        <w:rPr>
          <w:rFonts w:cs="Times New Roman"/>
          <w:color w:val="252525"/>
          <w:sz w:val="24"/>
          <w:szCs w:val="24"/>
          <w:shd w:val="clear" w:color="auto" w:fill="FFFFFF"/>
        </w:rPr>
        <w:t>case</w:t>
      </w:r>
      <w:r w:rsidR="00597B7D">
        <w:rPr>
          <w:rFonts w:cs="Times New Roman"/>
          <w:color w:val="252525"/>
          <w:sz w:val="24"/>
          <w:szCs w:val="24"/>
          <w:shd w:val="clear" w:color="auto" w:fill="FFFFFF"/>
        </w:rPr>
        <w:t xml:space="preserve"> related to privatization</w:t>
      </w:r>
      <w:r w:rsidR="008C4018">
        <w:rPr>
          <w:rFonts w:cs="Times New Roman"/>
          <w:color w:val="252525"/>
          <w:sz w:val="24"/>
          <w:szCs w:val="24"/>
          <w:shd w:val="clear" w:color="auto" w:fill="FFFFFF"/>
        </w:rPr>
        <w:t xml:space="preserve">, </w:t>
      </w:r>
      <w:r w:rsidR="00597B7D">
        <w:rPr>
          <w:rFonts w:cs="Times New Roman"/>
          <w:color w:val="252525"/>
          <w:sz w:val="24"/>
          <w:szCs w:val="24"/>
          <w:shd w:val="clear" w:color="auto" w:fill="FFFFFF"/>
        </w:rPr>
        <w:t>although</w:t>
      </w:r>
      <w:r w:rsidR="008C4018">
        <w:rPr>
          <w:rFonts w:cs="Times New Roman"/>
          <w:color w:val="252525"/>
          <w:sz w:val="24"/>
          <w:szCs w:val="24"/>
          <w:shd w:val="clear" w:color="auto" w:fill="FFFFFF"/>
        </w:rPr>
        <w:t xml:space="preserve"> the courts continued to postpone the sentence as late as April 2014</w:t>
      </w:r>
      <w:r w:rsidR="006501E2">
        <w:rPr>
          <w:rFonts w:cs="Times New Roman"/>
          <w:color w:val="252525"/>
          <w:sz w:val="24"/>
          <w:szCs w:val="24"/>
          <w:shd w:val="clear" w:color="auto" w:fill="FFFFFF"/>
        </w:rPr>
        <w:t xml:space="preserve"> (Nine </w:t>
      </w:r>
      <w:proofErr w:type="spellStart"/>
      <w:r w:rsidR="006501E2">
        <w:rPr>
          <w:rFonts w:cs="Times New Roman"/>
          <w:color w:val="252525"/>
          <w:sz w:val="24"/>
          <w:szCs w:val="24"/>
          <w:shd w:val="clear" w:color="auto" w:fill="FFFFFF"/>
        </w:rPr>
        <w:t>O’Clock</w:t>
      </w:r>
      <w:proofErr w:type="spellEnd"/>
      <w:r w:rsidR="006501E2">
        <w:rPr>
          <w:rFonts w:cs="Times New Roman"/>
          <w:color w:val="252525"/>
          <w:sz w:val="24"/>
          <w:szCs w:val="24"/>
          <w:shd w:val="clear" w:color="auto" w:fill="FFFFFF"/>
        </w:rPr>
        <w:t xml:space="preserve"> 2014)</w:t>
      </w:r>
      <w:r w:rsidR="008C4018">
        <w:rPr>
          <w:rFonts w:cs="Times New Roman"/>
          <w:color w:val="252525"/>
          <w:sz w:val="24"/>
          <w:szCs w:val="24"/>
          <w:shd w:val="clear" w:color="auto" w:fill="FFFFFF"/>
        </w:rPr>
        <w:t>.</w:t>
      </w:r>
      <w:r w:rsidR="002A643A" w:rsidRPr="00982C06">
        <w:rPr>
          <w:rFonts w:cs="Times New Roman"/>
          <w:color w:val="252525"/>
          <w:sz w:val="24"/>
          <w:szCs w:val="24"/>
          <w:shd w:val="clear" w:color="auto" w:fill="FFFFFF"/>
        </w:rPr>
        <w:t xml:space="preserve"> </w:t>
      </w:r>
      <w:r w:rsidR="00597B7D">
        <w:rPr>
          <w:rFonts w:cs="Times New Roman"/>
          <w:color w:val="252525"/>
          <w:sz w:val="24"/>
          <w:szCs w:val="24"/>
          <w:shd w:val="clear" w:color="auto" w:fill="FFFFFF"/>
        </w:rPr>
        <w:t xml:space="preserve">C.N.S.A.S. cites the need for these types of disclosures as a way to “show people that [lustration] is getting rid of bad social capital,” although the actual efficacy of the measures remains unclear. </w:t>
      </w:r>
      <w:r w:rsidR="00597B7D">
        <w:rPr>
          <w:rStyle w:val="EndnoteReference"/>
          <w:rFonts w:cs="Times New Roman"/>
          <w:color w:val="252525"/>
          <w:sz w:val="24"/>
          <w:szCs w:val="24"/>
          <w:shd w:val="clear" w:color="auto" w:fill="FFFFFF"/>
        </w:rPr>
        <w:endnoteReference w:id="53"/>
      </w:r>
      <w:r w:rsidR="00597B7D">
        <w:rPr>
          <w:rFonts w:cs="Times New Roman"/>
          <w:color w:val="252525"/>
          <w:sz w:val="24"/>
          <w:szCs w:val="24"/>
          <w:shd w:val="clear" w:color="auto" w:fill="FFFFFF"/>
        </w:rPr>
        <w:t xml:space="preserve"> </w:t>
      </w:r>
      <w:r w:rsidR="0064274E" w:rsidRPr="00982C06">
        <w:rPr>
          <w:rFonts w:eastAsia="Times New Roman" w:cs="Times New Roman"/>
          <w:sz w:val="24"/>
          <w:szCs w:val="24"/>
        </w:rPr>
        <w:t xml:space="preserve">The use of public disclosures </w:t>
      </w:r>
      <w:r w:rsidR="00597B7D">
        <w:rPr>
          <w:rFonts w:eastAsia="Times New Roman" w:cs="Times New Roman"/>
          <w:sz w:val="24"/>
          <w:szCs w:val="24"/>
        </w:rPr>
        <w:t xml:space="preserve">in Bulgaria and Romania </w:t>
      </w:r>
      <w:r w:rsidR="0064274E" w:rsidRPr="00982C06">
        <w:rPr>
          <w:rFonts w:eastAsia="Times New Roman" w:cs="Times New Roman"/>
          <w:sz w:val="24"/>
          <w:szCs w:val="24"/>
        </w:rPr>
        <w:t>to tackle the vestiges of the secret police networks in current business activities resonates with similar regional attempts to use lustration measures as anti-corruption devices late in the transition (Horne 2009).</w:t>
      </w:r>
      <w:r w:rsidR="0064274E">
        <w:rPr>
          <w:rFonts w:eastAsia="Times New Roman" w:cs="Times New Roman"/>
          <w:sz w:val="24"/>
          <w:szCs w:val="24"/>
        </w:rPr>
        <w:t xml:space="preserve"> </w:t>
      </w:r>
    </w:p>
    <w:p w:rsidR="0064274E" w:rsidRDefault="0064274E" w:rsidP="00667F18">
      <w:pPr>
        <w:spacing w:after="0" w:line="480" w:lineRule="auto"/>
        <w:rPr>
          <w:rFonts w:eastAsia="Times New Roman" w:cs="Times New Roman"/>
          <w:b/>
          <w:sz w:val="24"/>
          <w:szCs w:val="24"/>
        </w:rPr>
      </w:pPr>
    </w:p>
    <w:p w:rsidR="0064274E" w:rsidRPr="000816B7" w:rsidRDefault="0064274E" w:rsidP="00667F18">
      <w:pPr>
        <w:spacing w:after="0" w:line="480" w:lineRule="auto"/>
        <w:rPr>
          <w:rFonts w:eastAsia="Times New Roman" w:cs="Times New Roman"/>
          <w:b/>
          <w:sz w:val="24"/>
          <w:szCs w:val="24"/>
        </w:rPr>
      </w:pPr>
      <w:r w:rsidRPr="000816B7">
        <w:rPr>
          <w:rFonts w:eastAsia="Times New Roman" w:cs="Times New Roman"/>
          <w:b/>
          <w:sz w:val="24"/>
          <w:szCs w:val="24"/>
        </w:rPr>
        <w:t>Citizen Engagement with the files</w:t>
      </w:r>
      <w:r w:rsidRPr="000816B7">
        <w:rPr>
          <w:rFonts w:eastAsia="Times New Roman" w:cs="Times New Roman"/>
          <w:b/>
          <w:sz w:val="24"/>
          <w:szCs w:val="24"/>
        </w:rPr>
        <w:tab/>
      </w:r>
    </w:p>
    <w:p w:rsidR="0064274E" w:rsidRDefault="0064274E" w:rsidP="002F6CE1">
      <w:pPr>
        <w:spacing w:after="0" w:line="480" w:lineRule="auto"/>
        <w:ind w:firstLine="720"/>
        <w:jc w:val="both"/>
        <w:rPr>
          <w:rFonts w:cs="Times New Roman"/>
          <w:sz w:val="24"/>
          <w:szCs w:val="24"/>
        </w:rPr>
      </w:pPr>
      <w:r w:rsidRPr="006C262F">
        <w:rPr>
          <w:rFonts w:cs="Times New Roman"/>
          <w:sz w:val="24"/>
          <w:szCs w:val="24"/>
        </w:rPr>
        <w:t>There is mi</w:t>
      </w:r>
      <w:r>
        <w:rPr>
          <w:rFonts w:cs="Times New Roman"/>
          <w:sz w:val="24"/>
          <w:szCs w:val="24"/>
        </w:rPr>
        <w:t xml:space="preserve">xed information on citizens’ attitudes toward </w:t>
      </w:r>
      <w:r w:rsidRPr="006C262F">
        <w:rPr>
          <w:rFonts w:cs="Times New Roman"/>
          <w:sz w:val="24"/>
          <w:szCs w:val="24"/>
        </w:rPr>
        <w:t xml:space="preserve">the </w:t>
      </w:r>
      <w:r>
        <w:rPr>
          <w:rFonts w:cs="Times New Roman"/>
          <w:sz w:val="24"/>
          <w:szCs w:val="24"/>
        </w:rPr>
        <w:t xml:space="preserve">public disclosures and </w:t>
      </w:r>
      <w:r w:rsidRPr="006C262F">
        <w:rPr>
          <w:rFonts w:cs="Times New Roman"/>
          <w:sz w:val="24"/>
          <w:szCs w:val="24"/>
        </w:rPr>
        <w:t>lustration</w:t>
      </w:r>
      <w:r>
        <w:rPr>
          <w:rFonts w:cs="Times New Roman"/>
          <w:sz w:val="24"/>
          <w:szCs w:val="24"/>
        </w:rPr>
        <w:t xml:space="preserve"> in general</w:t>
      </w:r>
      <w:r w:rsidRPr="006C262F">
        <w:rPr>
          <w:rFonts w:cs="Times New Roman"/>
          <w:sz w:val="24"/>
          <w:szCs w:val="24"/>
        </w:rPr>
        <w:t xml:space="preserve">.  On the one hand, public opinion polls </w:t>
      </w:r>
      <w:r>
        <w:rPr>
          <w:rFonts w:cs="Times New Roman"/>
          <w:sz w:val="24"/>
          <w:szCs w:val="24"/>
        </w:rPr>
        <w:t xml:space="preserve">in Romania and Bulgaria taken at the </w:t>
      </w:r>
      <w:r>
        <w:rPr>
          <w:rFonts w:cs="Times New Roman"/>
          <w:sz w:val="24"/>
          <w:szCs w:val="24"/>
        </w:rPr>
        <w:lastRenderedPageBreak/>
        <w:t xml:space="preserve">start of the expansive disclosure programs in 2006 </w:t>
      </w:r>
      <w:r w:rsidRPr="006C262F">
        <w:rPr>
          <w:rFonts w:cs="Times New Roman"/>
          <w:sz w:val="24"/>
          <w:szCs w:val="24"/>
        </w:rPr>
        <w:t>show</w:t>
      </w:r>
      <w:r>
        <w:rPr>
          <w:rFonts w:cs="Times New Roman"/>
          <w:sz w:val="24"/>
          <w:szCs w:val="24"/>
        </w:rPr>
        <w:t>ed</w:t>
      </w:r>
      <w:r w:rsidRPr="006C262F">
        <w:rPr>
          <w:rFonts w:cs="Times New Roman"/>
          <w:sz w:val="24"/>
          <w:szCs w:val="24"/>
        </w:rPr>
        <w:t xml:space="preserve"> low support</w:t>
      </w:r>
      <w:r>
        <w:rPr>
          <w:rFonts w:cs="Times New Roman"/>
          <w:sz w:val="24"/>
          <w:szCs w:val="24"/>
        </w:rPr>
        <w:t>, reflecting both the failure of previous efforts and the belief that government should focus on solving current economic and political problems like corruption and unemployment</w:t>
      </w:r>
      <w:r w:rsidRPr="006C262F">
        <w:rPr>
          <w:rFonts w:cs="Times New Roman"/>
          <w:sz w:val="24"/>
          <w:szCs w:val="24"/>
        </w:rPr>
        <w:t xml:space="preserve">.  </w:t>
      </w:r>
      <w:r>
        <w:rPr>
          <w:rFonts w:cs="Times New Roman"/>
          <w:sz w:val="24"/>
          <w:szCs w:val="24"/>
        </w:rPr>
        <w:t xml:space="preserve">Over time the initial negative perceptions changed and citizen support for and actual engagement with the process grew. </w:t>
      </w:r>
    </w:p>
    <w:p w:rsidR="0064274E" w:rsidRPr="00A74683" w:rsidRDefault="0064274E" w:rsidP="002F6CE1">
      <w:pPr>
        <w:spacing w:after="0" w:line="480" w:lineRule="auto"/>
        <w:ind w:firstLine="720"/>
        <w:jc w:val="both"/>
        <w:rPr>
          <w:sz w:val="24"/>
          <w:szCs w:val="24"/>
        </w:rPr>
      </w:pPr>
      <w:r>
        <w:rPr>
          <w:rFonts w:cs="Times New Roman"/>
          <w:sz w:val="24"/>
          <w:szCs w:val="24"/>
        </w:rPr>
        <w:t xml:space="preserve">For example, in 2006 43% of Romanians </w:t>
      </w:r>
      <w:r w:rsidRPr="006C262F">
        <w:rPr>
          <w:rFonts w:cs="Times New Roman"/>
          <w:sz w:val="24"/>
          <w:szCs w:val="24"/>
        </w:rPr>
        <w:t xml:space="preserve">polled </w:t>
      </w:r>
      <w:r>
        <w:rPr>
          <w:rFonts w:cs="Times New Roman"/>
          <w:sz w:val="24"/>
          <w:szCs w:val="24"/>
        </w:rPr>
        <w:t xml:space="preserve">believed </w:t>
      </w:r>
      <w:r w:rsidRPr="006C262F">
        <w:rPr>
          <w:rFonts w:cs="Times New Roman"/>
          <w:sz w:val="24"/>
          <w:szCs w:val="24"/>
        </w:rPr>
        <w:t xml:space="preserve">that </w:t>
      </w:r>
      <w:r w:rsidRPr="006C262F">
        <w:rPr>
          <w:rFonts w:cs="Times New Roman"/>
          <w:i/>
          <w:sz w:val="24"/>
          <w:szCs w:val="24"/>
        </w:rPr>
        <w:t xml:space="preserve">Securitate </w:t>
      </w:r>
      <w:r w:rsidRPr="006C262F">
        <w:rPr>
          <w:rFonts w:cs="Times New Roman"/>
          <w:sz w:val="24"/>
          <w:szCs w:val="24"/>
        </w:rPr>
        <w:t xml:space="preserve">officials occupied positions of power in politics and the economy, </w:t>
      </w:r>
      <w:r>
        <w:rPr>
          <w:rFonts w:cs="Times New Roman"/>
          <w:sz w:val="24"/>
          <w:szCs w:val="24"/>
        </w:rPr>
        <w:t xml:space="preserve">but </w:t>
      </w:r>
      <w:r w:rsidRPr="006C262F">
        <w:rPr>
          <w:rFonts w:cs="Times New Roman"/>
          <w:color w:val="000000"/>
          <w:sz w:val="24"/>
          <w:szCs w:val="24"/>
        </w:rPr>
        <w:t xml:space="preserve">only 37% of individuals supported the removal of </w:t>
      </w:r>
      <w:r>
        <w:rPr>
          <w:rFonts w:cs="Times New Roman"/>
          <w:color w:val="000000"/>
          <w:sz w:val="24"/>
          <w:szCs w:val="24"/>
        </w:rPr>
        <w:t>collaborators and agents</w:t>
      </w:r>
      <w:r w:rsidRPr="006C262F">
        <w:rPr>
          <w:rFonts w:cs="Times New Roman"/>
          <w:color w:val="000000"/>
          <w:sz w:val="24"/>
          <w:szCs w:val="24"/>
        </w:rPr>
        <w:t xml:space="preserve"> from positions of power</w:t>
      </w:r>
      <w:r>
        <w:rPr>
          <w:rFonts w:cs="Times New Roman"/>
          <w:color w:val="000000"/>
          <w:sz w:val="24"/>
          <w:szCs w:val="24"/>
        </w:rPr>
        <w:t xml:space="preserve"> (Stan 2012, 94).</w:t>
      </w:r>
      <w:r w:rsidRPr="006C262F">
        <w:rPr>
          <w:rFonts w:cs="Times New Roman"/>
          <w:sz w:val="24"/>
          <w:szCs w:val="24"/>
        </w:rPr>
        <w:t xml:space="preserve"> </w:t>
      </w:r>
      <w:r>
        <w:rPr>
          <w:rFonts w:cs="Times New Roman"/>
          <w:sz w:val="24"/>
          <w:szCs w:val="24"/>
        </w:rPr>
        <w:t>P</w:t>
      </w:r>
      <w:r w:rsidRPr="006C262F">
        <w:rPr>
          <w:rFonts w:cs="Times New Roman"/>
          <w:sz w:val="24"/>
          <w:szCs w:val="24"/>
        </w:rPr>
        <w:t xml:space="preserve">olls completed in 2010 by the Institute for the Investigation of Communist Crimes and the Memory of Romanian Exile </w:t>
      </w:r>
      <w:r>
        <w:rPr>
          <w:rFonts w:cs="Times New Roman"/>
          <w:sz w:val="24"/>
          <w:szCs w:val="24"/>
        </w:rPr>
        <w:t xml:space="preserve">echoed these findings, </w:t>
      </w:r>
      <w:r w:rsidRPr="006C262F">
        <w:rPr>
          <w:rFonts w:cs="Times New Roman"/>
          <w:sz w:val="24"/>
          <w:szCs w:val="24"/>
        </w:rPr>
        <w:t>show</w:t>
      </w:r>
      <w:r>
        <w:rPr>
          <w:rFonts w:cs="Times New Roman"/>
          <w:sz w:val="24"/>
          <w:szCs w:val="24"/>
        </w:rPr>
        <w:t>ing</w:t>
      </w:r>
      <w:r w:rsidRPr="006C262F">
        <w:rPr>
          <w:rFonts w:cs="Times New Roman"/>
          <w:sz w:val="24"/>
          <w:szCs w:val="24"/>
        </w:rPr>
        <w:t xml:space="preserve"> </w:t>
      </w:r>
      <w:r>
        <w:rPr>
          <w:rFonts w:cs="Times New Roman"/>
          <w:sz w:val="24"/>
          <w:szCs w:val="24"/>
        </w:rPr>
        <w:t xml:space="preserve">only </w:t>
      </w:r>
      <w:r w:rsidRPr="006C262F">
        <w:rPr>
          <w:rFonts w:cs="Times New Roman"/>
          <w:sz w:val="24"/>
          <w:szCs w:val="24"/>
        </w:rPr>
        <w:t xml:space="preserve">37% </w:t>
      </w:r>
      <w:r>
        <w:rPr>
          <w:rFonts w:cs="Times New Roman"/>
          <w:sz w:val="24"/>
          <w:szCs w:val="24"/>
        </w:rPr>
        <w:t xml:space="preserve">of citizens </w:t>
      </w:r>
      <w:r w:rsidRPr="006C262F">
        <w:rPr>
          <w:rFonts w:cs="Times New Roman"/>
          <w:sz w:val="24"/>
          <w:szCs w:val="24"/>
        </w:rPr>
        <w:t>th</w:t>
      </w:r>
      <w:r>
        <w:rPr>
          <w:rFonts w:cs="Times New Roman"/>
          <w:sz w:val="24"/>
          <w:szCs w:val="24"/>
        </w:rPr>
        <w:t>ought file access was important</w:t>
      </w:r>
      <w:r w:rsidRPr="006C262F">
        <w:rPr>
          <w:rFonts w:cs="Times New Roman"/>
          <w:sz w:val="24"/>
          <w:szCs w:val="24"/>
        </w:rPr>
        <w:t xml:space="preserve"> and 31% supported lustration, while 52% thought neither lustration nor file access were important issues today</w:t>
      </w:r>
      <w:r>
        <w:rPr>
          <w:rFonts w:cs="Times New Roman"/>
          <w:sz w:val="24"/>
          <w:szCs w:val="24"/>
        </w:rPr>
        <w:t xml:space="preserve"> (Stan 2010)</w:t>
      </w:r>
      <w:r w:rsidRPr="006C262F">
        <w:rPr>
          <w:rFonts w:cs="Times New Roman"/>
          <w:sz w:val="24"/>
          <w:szCs w:val="24"/>
        </w:rPr>
        <w:t>.</w:t>
      </w:r>
      <w:r>
        <w:rPr>
          <w:rFonts w:cs="Times New Roman"/>
          <w:sz w:val="24"/>
          <w:szCs w:val="24"/>
        </w:rPr>
        <w:t xml:space="preserve">  These polls reflect both citizen fatigue with </w:t>
      </w:r>
      <w:r w:rsidRPr="006C262F">
        <w:rPr>
          <w:rFonts w:cs="Times New Roman"/>
          <w:sz w:val="24"/>
          <w:szCs w:val="24"/>
        </w:rPr>
        <w:t>transitional justice in the face of material problems</w:t>
      </w:r>
      <w:r>
        <w:rPr>
          <w:rFonts w:cs="Times New Roman"/>
          <w:sz w:val="24"/>
          <w:szCs w:val="24"/>
        </w:rPr>
        <w:t>, as well as a failure of previous measures to accomplish real change</w:t>
      </w:r>
      <w:r w:rsidRPr="006C262F">
        <w:rPr>
          <w:rFonts w:cs="Times New Roman"/>
          <w:sz w:val="24"/>
          <w:szCs w:val="24"/>
        </w:rPr>
        <w:t>.</w:t>
      </w:r>
      <w:r w:rsidRPr="006C262F">
        <w:rPr>
          <w:rStyle w:val="EndnoteReference"/>
          <w:rFonts w:cs="Times New Roman"/>
          <w:sz w:val="24"/>
          <w:szCs w:val="24"/>
        </w:rPr>
        <w:endnoteReference w:id="54"/>
      </w:r>
      <w:r w:rsidRPr="006C262F">
        <w:rPr>
          <w:rFonts w:cs="Times New Roman"/>
          <w:sz w:val="24"/>
          <w:szCs w:val="24"/>
        </w:rPr>
        <w:t xml:space="preserve"> There is also a growing nostalgia among citizens and </w:t>
      </w:r>
      <w:r>
        <w:rPr>
          <w:rFonts w:cs="Times New Roman"/>
          <w:sz w:val="24"/>
          <w:szCs w:val="24"/>
        </w:rPr>
        <w:t xml:space="preserve">the </w:t>
      </w:r>
      <w:r w:rsidRPr="006C262F">
        <w:rPr>
          <w:rFonts w:cs="Times New Roman"/>
          <w:sz w:val="24"/>
          <w:szCs w:val="24"/>
        </w:rPr>
        <w:t xml:space="preserve">youth for the stability of the past, </w:t>
      </w:r>
      <w:r>
        <w:rPr>
          <w:rFonts w:cs="Times New Roman"/>
          <w:sz w:val="24"/>
          <w:szCs w:val="24"/>
        </w:rPr>
        <w:t>reflected</w:t>
      </w:r>
      <w:r w:rsidRPr="006C262F">
        <w:rPr>
          <w:rFonts w:cs="Times New Roman"/>
          <w:sz w:val="24"/>
          <w:szCs w:val="24"/>
        </w:rPr>
        <w:t xml:space="preserve"> in favorable public opinion polls about commu</w:t>
      </w:r>
      <w:r>
        <w:rPr>
          <w:rFonts w:cs="Times New Roman"/>
          <w:sz w:val="24"/>
          <w:szCs w:val="24"/>
        </w:rPr>
        <w:t xml:space="preserve">nism and </w:t>
      </w:r>
      <w:r w:rsidRPr="006C262F">
        <w:rPr>
          <w:rFonts w:cs="Times New Roman"/>
          <w:sz w:val="24"/>
          <w:szCs w:val="24"/>
        </w:rPr>
        <w:t>Ceaușescu</w:t>
      </w:r>
      <w:r>
        <w:rPr>
          <w:rFonts w:cs="Times New Roman"/>
          <w:sz w:val="24"/>
          <w:szCs w:val="24"/>
        </w:rPr>
        <w:t>, with citizens indicating a desire for more economic and political security</w:t>
      </w:r>
      <w:r w:rsidRPr="006C262F">
        <w:rPr>
          <w:rFonts w:cs="Times New Roman"/>
          <w:sz w:val="24"/>
          <w:szCs w:val="24"/>
        </w:rPr>
        <w:t>.</w:t>
      </w:r>
      <w:r w:rsidRPr="006C262F">
        <w:rPr>
          <w:rStyle w:val="EndnoteReference"/>
          <w:rFonts w:cs="Times New Roman"/>
          <w:sz w:val="24"/>
          <w:szCs w:val="24"/>
        </w:rPr>
        <w:endnoteReference w:id="55"/>
      </w:r>
      <w:r w:rsidRPr="006C262F">
        <w:rPr>
          <w:rFonts w:cs="Times New Roman"/>
          <w:sz w:val="24"/>
          <w:szCs w:val="24"/>
        </w:rPr>
        <w:t xml:space="preserve"> </w:t>
      </w:r>
    </w:p>
    <w:p w:rsidR="0064274E" w:rsidRPr="00242007" w:rsidRDefault="0064274E" w:rsidP="00AD618F">
      <w:pPr>
        <w:spacing w:after="0" w:line="480" w:lineRule="auto"/>
        <w:rPr>
          <w:rFonts w:eastAsia="Times New Roman" w:cs="Times New Roman"/>
          <w:sz w:val="24"/>
          <w:szCs w:val="24"/>
        </w:rPr>
      </w:pPr>
      <w:r>
        <w:rPr>
          <w:sz w:val="24"/>
          <w:szCs w:val="24"/>
        </w:rPr>
        <w:tab/>
        <w:t xml:space="preserve">Similarly, the previous </w:t>
      </w:r>
      <w:r w:rsidR="00E2737F">
        <w:rPr>
          <w:sz w:val="24"/>
          <w:szCs w:val="24"/>
        </w:rPr>
        <w:t xml:space="preserve">failed </w:t>
      </w:r>
      <w:r>
        <w:rPr>
          <w:sz w:val="24"/>
          <w:szCs w:val="24"/>
        </w:rPr>
        <w:t xml:space="preserve">attempts at lustration in Bulgaria delegitimized the work of the Dossier Commission before it even started. Many politicians and academics believed that citizens did not really care about lustration, suggesting both that the time had passed for such measures and the focus should be on curbing corruption, building the economy, and relieving unemployment. </w:t>
      </w:r>
      <w:r>
        <w:rPr>
          <w:rStyle w:val="EndnoteReference"/>
          <w:sz w:val="24"/>
          <w:szCs w:val="24"/>
        </w:rPr>
        <w:endnoteReference w:id="56"/>
      </w:r>
      <w:r>
        <w:rPr>
          <w:sz w:val="24"/>
          <w:szCs w:val="24"/>
        </w:rPr>
        <w:t xml:space="preserve"> The Dossier Commission engaged in a massive public relations campaign to change citizen perceptions through demonstrated file transparency and objectivity.</w:t>
      </w:r>
      <w:r>
        <w:rPr>
          <w:rFonts w:eastAsia="Times New Roman" w:cs="Times New Roman"/>
          <w:sz w:val="24"/>
          <w:szCs w:val="24"/>
        </w:rPr>
        <w:t xml:space="preserve">  Recent</w:t>
      </w:r>
      <w:r w:rsidRPr="00990D87">
        <w:rPr>
          <w:sz w:val="24"/>
          <w:szCs w:val="24"/>
        </w:rPr>
        <w:t xml:space="preserve"> public opinion polls </w:t>
      </w:r>
      <w:r>
        <w:rPr>
          <w:sz w:val="24"/>
          <w:szCs w:val="24"/>
        </w:rPr>
        <w:t xml:space="preserve">show that citizen attitudes toward the work of the Commission are </w:t>
      </w:r>
      <w:r>
        <w:rPr>
          <w:sz w:val="24"/>
          <w:szCs w:val="24"/>
        </w:rPr>
        <w:lastRenderedPageBreak/>
        <w:t>improving.</w:t>
      </w:r>
      <w:r w:rsidRPr="00990D87">
        <w:rPr>
          <w:sz w:val="24"/>
          <w:szCs w:val="24"/>
        </w:rPr>
        <w:t xml:space="preserve">   In March 2008</w:t>
      </w:r>
      <w:r>
        <w:rPr>
          <w:sz w:val="24"/>
          <w:szCs w:val="24"/>
        </w:rPr>
        <w:t>,</w:t>
      </w:r>
      <w:r w:rsidRPr="00990D87">
        <w:rPr>
          <w:sz w:val="24"/>
          <w:szCs w:val="24"/>
        </w:rPr>
        <w:t xml:space="preserve"> 44% </w:t>
      </w:r>
      <w:r>
        <w:rPr>
          <w:sz w:val="24"/>
          <w:szCs w:val="24"/>
        </w:rPr>
        <w:t xml:space="preserve">of Bulgarians polled </w:t>
      </w:r>
      <w:r w:rsidRPr="00990D87">
        <w:rPr>
          <w:sz w:val="24"/>
          <w:szCs w:val="24"/>
        </w:rPr>
        <w:t>said they supported public disclosure</w:t>
      </w:r>
      <w:r>
        <w:rPr>
          <w:sz w:val="24"/>
          <w:szCs w:val="24"/>
        </w:rPr>
        <w:t xml:space="preserve"> of</w:t>
      </w:r>
      <w:r w:rsidRPr="00990D87">
        <w:rPr>
          <w:sz w:val="24"/>
          <w:szCs w:val="24"/>
        </w:rPr>
        <w:t xml:space="preserve"> past state security service </w:t>
      </w:r>
      <w:r>
        <w:rPr>
          <w:sz w:val="24"/>
          <w:szCs w:val="24"/>
        </w:rPr>
        <w:t xml:space="preserve">involvement, rising to </w:t>
      </w:r>
      <w:r w:rsidRPr="00990D87">
        <w:rPr>
          <w:sz w:val="24"/>
          <w:szCs w:val="24"/>
        </w:rPr>
        <w:t xml:space="preserve">50.5 % in March 2010. </w:t>
      </w:r>
      <w:r w:rsidRPr="00990D87">
        <w:rPr>
          <w:rStyle w:val="EndnoteReference"/>
          <w:sz w:val="24"/>
          <w:szCs w:val="24"/>
        </w:rPr>
        <w:endnoteReference w:id="57"/>
      </w:r>
      <w:r w:rsidRPr="00990D87">
        <w:rPr>
          <w:sz w:val="24"/>
          <w:szCs w:val="24"/>
        </w:rPr>
        <w:t xml:space="preserve"> </w:t>
      </w:r>
      <w:r w:rsidRPr="008F2B98">
        <w:rPr>
          <w:rFonts w:eastAsia="Times New Roman" w:cs="Times New Roman"/>
          <w:sz w:val="24"/>
          <w:szCs w:val="24"/>
        </w:rPr>
        <w:t>In February 2012, 57% of citizens polled said they thought information about the past secret polic</w:t>
      </w:r>
      <w:r>
        <w:rPr>
          <w:rFonts w:eastAsia="Times New Roman" w:cs="Times New Roman"/>
          <w:sz w:val="24"/>
          <w:szCs w:val="24"/>
        </w:rPr>
        <w:t>e service of all public employees</w:t>
      </w:r>
      <w:r w:rsidRPr="008F2B98">
        <w:rPr>
          <w:rFonts w:eastAsia="Times New Roman" w:cs="Times New Roman"/>
          <w:sz w:val="24"/>
          <w:szCs w:val="24"/>
        </w:rPr>
        <w:t xml:space="preserve"> should be disclosed</w:t>
      </w:r>
      <w:r>
        <w:rPr>
          <w:rFonts w:eastAsia="Times New Roman" w:cs="Times New Roman"/>
          <w:sz w:val="24"/>
          <w:szCs w:val="24"/>
        </w:rPr>
        <w:t xml:space="preserve"> and</w:t>
      </w:r>
      <w:r w:rsidRPr="008F2B98">
        <w:rPr>
          <w:rFonts w:eastAsia="Times New Roman" w:cs="Times New Roman"/>
          <w:sz w:val="24"/>
          <w:szCs w:val="24"/>
        </w:rPr>
        <w:t xml:space="preserve">  </w:t>
      </w:r>
      <w:r w:rsidRPr="008F2B98">
        <w:rPr>
          <w:sz w:val="24"/>
          <w:szCs w:val="24"/>
        </w:rPr>
        <w:t xml:space="preserve">25% of individuals wanted to expand the </w:t>
      </w:r>
      <w:r>
        <w:rPr>
          <w:sz w:val="24"/>
          <w:szCs w:val="24"/>
        </w:rPr>
        <w:t>scope of the files to be vetted.</w:t>
      </w:r>
      <w:r w:rsidRPr="008F2B98">
        <w:rPr>
          <w:rStyle w:val="EndnoteReference"/>
          <w:sz w:val="24"/>
          <w:szCs w:val="24"/>
        </w:rPr>
        <w:endnoteReference w:id="58"/>
      </w:r>
      <w:r w:rsidRPr="008F2B98">
        <w:rPr>
          <w:sz w:val="24"/>
          <w:szCs w:val="24"/>
        </w:rPr>
        <w:t xml:space="preserve"> </w:t>
      </w:r>
      <w:r>
        <w:rPr>
          <w:rFonts w:eastAsia="Times New Roman" w:cs="Times New Roman"/>
          <w:sz w:val="24"/>
          <w:szCs w:val="24"/>
        </w:rPr>
        <w:t>T</w:t>
      </w:r>
      <w:r w:rsidRPr="008F2B98">
        <w:rPr>
          <w:sz w:val="24"/>
          <w:szCs w:val="24"/>
        </w:rPr>
        <w:t>here is also growing interest among younger people in the work of the Commission</w:t>
      </w:r>
      <w:r>
        <w:rPr>
          <w:sz w:val="24"/>
          <w:szCs w:val="24"/>
        </w:rPr>
        <w:t xml:space="preserve">, with support more than doubling by 2012 to </w:t>
      </w:r>
      <w:r w:rsidRPr="008F2B98">
        <w:rPr>
          <w:sz w:val="24"/>
          <w:szCs w:val="24"/>
        </w:rPr>
        <w:t>29%</w:t>
      </w:r>
      <w:r>
        <w:rPr>
          <w:sz w:val="24"/>
          <w:szCs w:val="24"/>
        </w:rPr>
        <w:t xml:space="preserve"> of youth polled</w:t>
      </w:r>
      <w:r w:rsidRPr="008F2B98">
        <w:rPr>
          <w:sz w:val="24"/>
          <w:szCs w:val="24"/>
        </w:rPr>
        <w:t>.</w:t>
      </w:r>
      <w:r w:rsidRPr="008F2B98">
        <w:rPr>
          <w:rStyle w:val="EndnoteReference"/>
          <w:sz w:val="24"/>
          <w:szCs w:val="24"/>
        </w:rPr>
        <w:endnoteReference w:id="59"/>
      </w:r>
      <w:r w:rsidRPr="008F2B98">
        <w:rPr>
          <w:sz w:val="24"/>
          <w:szCs w:val="24"/>
        </w:rPr>
        <w:t xml:space="preserve"> </w:t>
      </w:r>
      <w:r>
        <w:rPr>
          <w:sz w:val="24"/>
          <w:szCs w:val="24"/>
        </w:rPr>
        <w:t xml:space="preserve">The trend lines indicate growing support for the process of public disclosures, with a critical caveat that despite the improvement total public support remains at just over half of the population. </w:t>
      </w:r>
    </w:p>
    <w:p w:rsidR="0064274E" w:rsidRDefault="0064274E" w:rsidP="00667F18">
      <w:pPr>
        <w:spacing w:after="0" w:line="480" w:lineRule="auto"/>
        <w:rPr>
          <w:rFonts w:cs="Times New Roman"/>
          <w:color w:val="000000"/>
          <w:sz w:val="24"/>
          <w:szCs w:val="24"/>
        </w:rPr>
      </w:pPr>
      <w:r>
        <w:rPr>
          <w:rFonts w:eastAsia="Times New Roman" w:cs="Times New Roman"/>
          <w:sz w:val="24"/>
          <w:szCs w:val="24"/>
        </w:rPr>
        <w:tab/>
        <w:t xml:space="preserve">Citizen use of the public reading rooms in Romania and Bulgaria, and citizen requests for file information indicate higher levels of actual popular support than the polls suggest. Over time </w:t>
      </w:r>
      <w:r w:rsidRPr="008F2B98">
        <w:rPr>
          <w:rFonts w:eastAsia="Times New Roman" w:cs="Times New Roman"/>
          <w:sz w:val="24"/>
          <w:szCs w:val="24"/>
        </w:rPr>
        <w:t xml:space="preserve">citizen interest and use </w:t>
      </w:r>
      <w:r>
        <w:rPr>
          <w:rFonts w:eastAsia="Times New Roman" w:cs="Times New Roman"/>
          <w:sz w:val="24"/>
          <w:szCs w:val="24"/>
        </w:rPr>
        <w:t xml:space="preserve">of </w:t>
      </w:r>
      <w:r w:rsidRPr="008F2B98">
        <w:rPr>
          <w:rFonts w:eastAsia="Times New Roman" w:cs="Times New Roman"/>
          <w:sz w:val="24"/>
          <w:szCs w:val="24"/>
        </w:rPr>
        <w:t>the files</w:t>
      </w:r>
      <w:r>
        <w:rPr>
          <w:rFonts w:eastAsia="Times New Roman" w:cs="Times New Roman"/>
          <w:sz w:val="24"/>
          <w:szCs w:val="24"/>
        </w:rPr>
        <w:t xml:space="preserve"> in Bulgaria has gone up, with a consistently full public reading room and increased requests for file access</w:t>
      </w:r>
      <w:r w:rsidRPr="008F2B98">
        <w:rPr>
          <w:rFonts w:eastAsia="Times New Roman" w:cs="Times New Roman"/>
          <w:sz w:val="24"/>
          <w:szCs w:val="24"/>
        </w:rPr>
        <w:t>.</w:t>
      </w:r>
      <w:r w:rsidRPr="008F2B98">
        <w:rPr>
          <w:rStyle w:val="EndnoteReference"/>
          <w:rFonts w:eastAsia="Times New Roman" w:cs="Times New Roman"/>
          <w:sz w:val="24"/>
          <w:szCs w:val="24"/>
        </w:rPr>
        <w:endnoteReference w:id="60"/>
      </w:r>
      <w:r w:rsidRPr="008F2B98">
        <w:rPr>
          <w:rFonts w:eastAsia="Times New Roman" w:cs="Times New Roman"/>
          <w:sz w:val="24"/>
          <w:szCs w:val="24"/>
        </w:rPr>
        <w:t xml:space="preserve"> </w:t>
      </w:r>
      <w:r>
        <w:rPr>
          <w:rFonts w:eastAsia="Times New Roman" w:cs="Times New Roman"/>
          <w:sz w:val="24"/>
          <w:szCs w:val="24"/>
        </w:rPr>
        <w:t xml:space="preserve"> </w:t>
      </w:r>
      <w:r>
        <w:rPr>
          <w:sz w:val="24"/>
          <w:szCs w:val="24"/>
        </w:rPr>
        <w:t xml:space="preserve">Romania provides precise figures on citizen file usage. The C.N.S.A.S. reported </w:t>
      </w:r>
      <w:r w:rsidRPr="00A47BB7">
        <w:rPr>
          <w:sz w:val="24"/>
          <w:szCs w:val="24"/>
        </w:rPr>
        <w:t>there were a total of 659 requests</w:t>
      </w:r>
      <w:r>
        <w:rPr>
          <w:sz w:val="24"/>
          <w:szCs w:val="24"/>
        </w:rPr>
        <w:t xml:space="preserve"> for use of the reading room in 2006</w:t>
      </w:r>
      <w:r w:rsidRPr="00A47BB7">
        <w:rPr>
          <w:sz w:val="24"/>
          <w:szCs w:val="24"/>
        </w:rPr>
        <w:t xml:space="preserve">, with 1,011 requests by 2008, and 2,088 requests by 2011. </w:t>
      </w:r>
      <w:r w:rsidRPr="006C262F">
        <w:rPr>
          <w:rFonts w:cs="Times New Roman"/>
          <w:color w:val="000000"/>
          <w:sz w:val="24"/>
          <w:szCs w:val="24"/>
        </w:rPr>
        <w:t xml:space="preserve">In 2012, the reading room for </w:t>
      </w:r>
      <w:r>
        <w:rPr>
          <w:rFonts w:cs="Times New Roman"/>
          <w:color w:val="000000"/>
          <w:sz w:val="24"/>
          <w:szCs w:val="24"/>
        </w:rPr>
        <w:t>the C.N.S.A.S.</w:t>
      </w:r>
      <w:r w:rsidRPr="006C262F">
        <w:rPr>
          <w:rFonts w:cs="Times New Roman"/>
          <w:color w:val="000000"/>
          <w:sz w:val="24"/>
          <w:szCs w:val="24"/>
        </w:rPr>
        <w:t xml:space="preserve"> logged more than 4,000 visits, with more than 18,000 files accessed between both researchers and private individuals</w:t>
      </w:r>
      <w:r>
        <w:rPr>
          <w:rFonts w:cs="Times New Roman"/>
          <w:color w:val="000000"/>
          <w:sz w:val="24"/>
          <w:szCs w:val="24"/>
        </w:rPr>
        <w:t xml:space="preserve"> (C.N.S.A.S. 2012, 15)</w:t>
      </w:r>
      <w:r w:rsidRPr="006C262F">
        <w:rPr>
          <w:rFonts w:cs="Times New Roman"/>
          <w:color w:val="000000"/>
          <w:sz w:val="24"/>
          <w:szCs w:val="24"/>
        </w:rPr>
        <w:t xml:space="preserve">. </w:t>
      </w:r>
      <w:r>
        <w:rPr>
          <w:rFonts w:cs="Times New Roman"/>
          <w:color w:val="000000"/>
          <w:sz w:val="24"/>
          <w:szCs w:val="24"/>
        </w:rPr>
        <w:t xml:space="preserve"> This represents a 500% increase in requests for access to the reading room. </w:t>
      </w:r>
      <w:r w:rsidRPr="006C262F">
        <w:rPr>
          <w:rFonts w:cs="Times New Roman"/>
          <w:color w:val="000000"/>
          <w:sz w:val="24"/>
          <w:szCs w:val="24"/>
        </w:rPr>
        <w:t xml:space="preserve"> </w:t>
      </w:r>
      <w:r w:rsidRPr="00A47BB7">
        <w:rPr>
          <w:sz w:val="24"/>
          <w:szCs w:val="24"/>
        </w:rPr>
        <w:t xml:space="preserve">The number of individuals requesting access to their own files </w:t>
      </w:r>
      <w:r>
        <w:rPr>
          <w:sz w:val="24"/>
          <w:szCs w:val="24"/>
        </w:rPr>
        <w:t xml:space="preserve">in Romania </w:t>
      </w:r>
      <w:r w:rsidRPr="00A47BB7">
        <w:rPr>
          <w:sz w:val="24"/>
          <w:szCs w:val="24"/>
        </w:rPr>
        <w:t>continues to increase</w:t>
      </w:r>
      <w:r>
        <w:rPr>
          <w:sz w:val="24"/>
          <w:szCs w:val="24"/>
        </w:rPr>
        <w:t>,</w:t>
      </w:r>
      <w:r w:rsidRPr="00A47BB7">
        <w:rPr>
          <w:sz w:val="24"/>
          <w:szCs w:val="24"/>
        </w:rPr>
        <w:t xml:space="preserve"> with a total of 816 requests </w:t>
      </w:r>
      <w:r>
        <w:rPr>
          <w:sz w:val="24"/>
          <w:szCs w:val="24"/>
        </w:rPr>
        <w:t>in 2006, 1,311 requests in</w:t>
      </w:r>
      <w:r w:rsidRPr="00A47BB7">
        <w:rPr>
          <w:sz w:val="24"/>
          <w:szCs w:val="24"/>
        </w:rPr>
        <w:t xml:space="preserve"> 2008, and 1,729 requests by 2011</w:t>
      </w:r>
      <w:r>
        <w:rPr>
          <w:sz w:val="24"/>
          <w:szCs w:val="24"/>
        </w:rPr>
        <w:t>, or a 110% increase over six years</w:t>
      </w:r>
      <w:r w:rsidRPr="00A47BB7">
        <w:rPr>
          <w:sz w:val="24"/>
          <w:szCs w:val="24"/>
        </w:rPr>
        <w:t xml:space="preserve">.  </w:t>
      </w:r>
      <w:r w:rsidRPr="006C262F">
        <w:rPr>
          <w:rFonts w:cs="Times New Roman"/>
          <w:color w:val="000000"/>
          <w:sz w:val="24"/>
          <w:szCs w:val="24"/>
        </w:rPr>
        <w:t>In 2012 there were 3,653 new requests for documents in the archives, and 1,117 new users of the archives.  In addition, there were more than 500,000 copies request</w:t>
      </w:r>
      <w:r>
        <w:rPr>
          <w:rFonts w:cs="Times New Roman"/>
          <w:color w:val="000000"/>
          <w:sz w:val="24"/>
          <w:szCs w:val="24"/>
        </w:rPr>
        <w:t>s</w:t>
      </w:r>
      <w:r w:rsidRPr="006C262F">
        <w:rPr>
          <w:rFonts w:cs="Times New Roman"/>
          <w:color w:val="000000"/>
          <w:sz w:val="24"/>
          <w:szCs w:val="24"/>
        </w:rPr>
        <w:t xml:space="preserve"> </w:t>
      </w:r>
      <w:r>
        <w:rPr>
          <w:rFonts w:cs="Times New Roman"/>
          <w:color w:val="000000"/>
          <w:sz w:val="24"/>
          <w:szCs w:val="24"/>
        </w:rPr>
        <w:t>from</w:t>
      </w:r>
      <w:r w:rsidRPr="006C262F">
        <w:rPr>
          <w:rFonts w:cs="Times New Roman"/>
          <w:color w:val="000000"/>
          <w:sz w:val="24"/>
          <w:szCs w:val="24"/>
        </w:rPr>
        <w:t xml:space="preserve"> individuals and the courts. The number of copies requested in 2012 was</w:t>
      </w:r>
      <w:r>
        <w:rPr>
          <w:rFonts w:cs="Times New Roman"/>
          <w:color w:val="000000"/>
          <w:sz w:val="24"/>
          <w:szCs w:val="24"/>
        </w:rPr>
        <w:t xml:space="preserve"> approximately 100% more than</w:t>
      </w:r>
      <w:r w:rsidRPr="006C262F">
        <w:rPr>
          <w:rFonts w:cs="Times New Roman"/>
          <w:color w:val="000000"/>
          <w:sz w:val="24"/>
          <w:szCs w:val="24"/>
        </w:rPr>
        <w:t xml:space="preserve"> the number of copies requested in 2008 (212, 614) or 2009 (264, 417)</w:t>
      </w:r>
      <w:r>
        <w:rPr>
          <w:rFonts w:cs="Times New Roman"/>
          <w:color w:val="000000"/>
          <w:sz w:val="24"/>
          <w:szCs w:val="24"/>
        </w:rPr>
        <w:t xml:space="preserve"> (C.N.S.A.S. </w:t>
      </w:r>
      <w:r>
        <w:rPr>
          <w:rFonts w:cs="Times New Roman"/>
          <w:color w:val="000000"/>
          <w:sz w:val="24"/>
          <w:szCs w:val="24"/>
        </w:rPr>
        <w:lastRenderedPageBreak/>
        <w:t>2012, 15)</w:t>
      </w:r>
      <w:r w:rsidRPr="006C262F">
        <w:rPr>
          <w:rFonts w:cs="Times New Roman"/>
          <w:color w:val="000000"/>
          <w:sz w:val="24"/>
          <w:szCs w:val="24"/>
        </w:rPr>
        <w:t>.</w:t>
      </w:r>
      <w:r>
        <w:rPr>
          <w:rFonts w:cs="Times New Roman"/>
          <w:color w:val="000000"/>
          <w:sz w:val="24"/>
          <w:szCs w:val="24"/>
        </w:rPr>
        <w:t xml:space="preserve">  In sum, levels of public engagement with the files have increased not decreased with time.  Citizens’ actual use of the files belies the reported low support for file access and disclosures. This suggests that citizens perceive something important about the disclosure programs that they did not at the start of this process.</w:t>
      </w:r>
    </w:p>
    <w:p w:rsidR="0064274E" w:rsidRDefault="0064274E" w:rsidP="00667F18">
      <w:pPr>
        <w:spacing w:after="0" w:line="480" w:lineRule="auto"/>
        <w:rPr>
          <w:sz w:val="24"/>
          <w:szCs w:val="24"/>
        </w:rPr>
      </w:pPr>
    </w:p>
    <w:p w:rsidR="0064274E" w:rsidRPr="000816B7" w:rsidRDefault="0064274E" w:rsidP="002D49EF">
      <w:pPr>
        <w:spacing w:after="0" w:line="480" w:lineRule="auto"/>
        <w:rPr>
          <w:b/>
          <w:sz w:val="24"/>
          <w:szCs w:val="24"/>
        </w:rPr>
      </w:pPr>
      <w:r w:rsidRPr="000816B7">
        <w:rPr>
          <w:b/>
          <w:sz w:val="24"/>
          <w:szCs w:val="24"/>
        </w:rPr>
        <w:t xml:space="preserve">Possibilities for </w:t>
      </w:r>
      <w:r>
        <w:rPr>
          <w:b/>
          <w:sz w:val="24"/>
          <w:szCs w:val="24"/>
        </w:rPr>
        <w:t>change</w:t>
      </w:r>
    </w:p>
    <w:p w:rsidR="0064274E" w:rsidRDefault="0064274E" w:rsidP="002D49EF">
      <w:pPr>
        <w:pStyle w:val="ListParagraph"/>
        <w:spacing w:line="480" w:lineRule="auto"/>
        <w:ind w:left="0"/>
        <w:contextualSpacing/>
      </w:pPr>
      <w:r w:rsidRPr="00F920C5">
        <w:tab/>
      </w:r>
      <w:r>
        <w:t xml:space="preserve">In the absence of compulsory employment penalties for collaboration, have </w:t>
      </w:r>
      <w:r w:rsidRPr="00F920C5">
        <w:t>public disclosures</w:t>
      </w:r>
      <w:r>
        <w:t xml:space="preserve"> resulted in bureaucratic change?  T</w:t>
      </w:r>
      <w:r w:rsidRPr="00F920C5">
        <w:t xml:space="preserve">here are no clear statistics </w:t>
      </w:r>
      <w:r>
        <w:t>on</w:t>
      </w:r>
      <w:r w:rsidRPr="00F920C5">
        <w:t xml:space="preserve"> the number of individuals removed from positions of power</w:t>
      </w:r>
      <w:r>
        <w:t xml:space="preserve"> as a result of the public disclosures, nor can we know who opted out of politics in order to prevent disclosure.  However, the same is true in places like Poland and Hungary with voluntary lustration removal structures, so this is not unique to Bulgaria and Romania.  Even in places with clearer employment removal provisions like the Czech Republic, the employment implications of lustration remain unclear.  Nonetheless, like their regional lustration counterparts, both the Dossier Commission and the C.N.S.A.S. note evidence of bureaucratic change as a result of actual or potential file revelations.  </w:t>
      </w:r>
    </w:p>
    <w:p w:rsidR="0064274E" w:rsidRPr="00700B28" w:rsidRDefault="0064274E" w:rsidP="002D49EF">
      <w:pPr>
        <w:pStyle w:val="ListParagraph"/>
        <w:spacing w:line="480" w:lineRule="auto"/>
        <w:ind w:left="0"/>
        <w:contextualSpacing/>
      </w:pPr>
      <w:r>
        <w:tab/>
        <w:t xml:space="preserve">In Bulgaria, the Dossier Commission reports that recruiting and employment efforts in public agencies are influenced by the disclosure process.  Since lustration is not legally permitted in Bulgaria, employment changes are possible only if </w:t>
      </w:r>
      <w:proofErr w:type="gramStart"/>
      <w:r>
        <w:t>agencies pre-screen candidates for collaboration prior to hiring and therefore before the formal verification process even begins</w:t>
      </w:r>
      <w:proofErr w:type="gramEnd"/>
      <w:r>
        <w:t xml:space="preserve">.  The Commission noted this allows for the circumvention of the judiciary, which can block constitutionally prohibited lustration efforts. In particular the Commission cited the Ministry of the Interior, the Ministry of Culture, the Ministry of Health and the Ministry of Justice make </w:t>
      </w:r>
      <w:r>
        <w:lastRenderedPageBreak/>
        <w:t>preliminary background checks on individuals before filling positions, an</w:t>
      </w:r>
      <w:r w:rsidRPr="00265BA6">
        <w:t xml:space="preserve">d remove individuals from </w:t>
      </w:r>
      <w:r>
        <w:t>consideration if there is evidence of collaboration</w:t>
      </w:r>
      <w:r w:rsidRPr="00265BA6">
        <w:t>.</w:t>
      </w:r>
      <w:r w:rsidRPr="00265BA6">
        <w:rPr>
          <w:rStyle w:val="EndnoteReference"/>
        </w:rPr>
        <w:endnoteReference w:id="61"/>
      </w:r>
      <w:r w:rsidRPr="00265BA6">
        <w:t xml:space="preserve">  </w:t>
      </w:r>
    </w:p>
    <w:p w:rsidR="0064274E" w:rsidRDefault="0064274E" w:rsidP="003B030F">
      <w:pPr>
        <w:spacing w:after="0" w:line="480" w:lineRule="auto"/>
        <w:rPr>
          <w:rFonts w:cs="Times New Roman"/>
          <w:color w:val="000000"/>
          <w:sz w:val="24"/>
          <w:szCs w:val="24"/>
        </w:rPr>
      </w:pPr>
      <w:r w:rsidRPr="00700B28">
        <w:rPr>
          <w:sz w:val="24"/>
          <w:szCs w:val="24"/>
        </w:rPr>
        <w:tab/>
        <w:t>In Romania, t</w:t>
      </w:r>
      <w:r w:rsidRPr="00700B28">
        <w:rPr>
          <w:rFonts w:cs="Times New Roman"/>
          <w:color w:val="000000"/>
          <w:sz w:val="24"/>
          <w:szCs w:val="24"/>
        </w:rPr>
        <w:t>he C.N.S.A.S. has power to pressure candidates to voluntarily resi</w:t>
      </w:r>
      <w:r>
        <w:rPr>
          <w:rFonts w:cs="Times New Roman"/>
          <w:color w:val="000000"/>
          <w:sz w:val="24"/>
          <w:szCs w:val="24"/>
        </w:rPr>
        <w:t>gn positions through the issuance</w:t>
      </w:r>
      <w:r w:rsidRPr="00700B28">
        <w:rPr>
          <w:rFonts w:cs="Times New Roman"/>
          <w:color w:val="000000"/>
          <w:sz w:val="24"/>
          <w:szCs w:val="24"/>
        </w:rPr>
        <w:t xml:space="preserve"> of a “preamble</w:t>
      </w:r>
      <w:r>
        <w:rPr>
          <w:rFonts w:cs="Times New Roman"/>
          <w:color w:val="000000"/>
          <w:sz w:val="24"/>
          <w:szCs w:val="24"/>
        </w:rPr>
        <w:t>.”</w:t>
      </w:r>
      <w:r w:rsidRPr="00700B28">
        <w:rPr>
          <w:rFonts w:cs="Times New Roman"/>
          <w:color w:val="000000"/>
          <w:sz w:val="24"/>
          <w:szCs w:val="24"/>
        </w:rPr>
        <w:t xml:space="preserve"> Specifically, the C.N.S.A.S. can issue a statement or a "preamble" documenting the degree and type of collab</w:t>
      </w:r>
      <w:r>
        <w:rPr>
          <w:rFonts w:cs="Times New Roman"/>
          <w:color w:val="000000"/>
          <w:sz w:val="24"/>
          <w:szCs w:val="24"/>
        </w:rPr>
        <w:t>oration discovered in the files</w:t>
      </w:r>
      <w:r w:rsidRPr="00700B28">
        <w:rPr>
          <w:rFonts w:cs="Times New Roman"/>
          <w:color w:val="000000"/>
          <w:sz w:val="24"/>
          <w:szCs w:val="24"/>
        </w:rPr>
        <w:t>, even though it might not be sufficient evidence for a formal judicial adjudication of the case by the Bucharest Court of Appeals.</w:t>
      </w:r>
      <w:r w:rsidRPr="00700B28">
        <w:rPr>
          <w:rStyle w:val="EndnoteReference"/>
          <w:rFonts w:cs="Times New Roman"/>
          <w:color w:val="000000"/>
          <w:sz w:val="24"/>
          <w:szCs w:val="24"/>
        </w:rPr>
        <w:t xml:space="preserve"> </w:t>
      </w:r>
      <w:r w:rsidRPr="00700B28">
        <w:rPr>
          <w:rStyle w:val="EndnoteReference"/>
          <w:rFonts w:cs="Times New Roman"/>
          <w:color w:val="000000"/>
          <w:sz w:val="24"/>
          <w:szCs w:val="24"/>
        </w:rPr>
        <w:endnoteReference w:id="62"/>
      </w:r>
      <w:r w:rsidRPr="00700B28">
        <w:rPr>
          <w:rFonts w:cs="Times New Roman"/>
          <w:color w:val="000000"/>
          <w:sz w:val="24"/>
          <w:szCs w:val="24"/>
        </w:rPr>
        <w:t xml:space="preserve"> </w:t>
      </w:r>
      <w:r>
        <w:rPr>
          <w:rFonts w:cs="Times New Roman"/>
          <w:color w:val="000000"/>
          <w:sz w:val="24"/>
          <w:szCs w:val="24"/>
        </w:rPr>
        <w:t>More s</w:t>
      </w:r>
      <w:r w:rsidRPr="00700B28">
        <w:rPr>
          <w:rFonts w:cs="Times New Roman"/>
          <w:color w:val="000000"/>
          <w:sz w:val="24"/>
          <w:szCs w:val="24"/>
        </w:rPr>
        <w:t xml:space="preserve">pecifically </w:t>
      </w:r>
      <w:r w:rsidRPr="00700B28">
        <w:rPr>
          <w:sz w:val="24"/>
          <w:szCs w:val="24"/>
        </w:rPr>
        <w:t xml:space="preserve">the 2008 legislation changing the responsibilities of </w:t>
      </w:r>
      <w:r>
        <w:rPr>
          <w:sz w:val="24"/>
          <w:szCs w:val="24"/>
        </w:rPr>
        <w:t>the C.N.S.A.S.</w:t>
      </w:r>
      <w:r w:rsidRPr="00700B28">
        <w:rPr>
          <w:sz w:val="24"/>
          <w:szCs w:val="24"/>
        </w:rPr>
        <w:t xml:space="preserve"> also changed the burden of proof </w:t>
      </w:r>
      <w:r>
        <w:rPr>
          <w:sz w:val="24"/>
          <w:szCs w:val="24"/>
        </w:rPr>
        <w:t>to demonstrate</w:t>
      </w:r>
      <w:r w:rsidRPr="00700B28">
        <w:rPr>
          <w:sz w:val="24"/>
          <w:szCs w:val="24"/>
        </w:rPr>
        <w:t xml:space="preserve"> collaboration.  </w:t>
      </w:r>
      <w:r>
        <w:rPr>
          <w:sz w:val="24"/>
          <w:szCs w:val="24"/>
        </w:rPr>
        <w:t xml:space="preserve">The </w:t>
      </w:r>
      <w:r>
        <w:rPr>
          <w:rFonts w:eastAsia="Times New Roman"/>
          <w:color w:val="000000"/>
          <w:sz w:val="24"/>
          <w:szCs w:val="24"/>
        </w:rPr>
        <w:t>C.N.S.A.S. has</w:t>
      </w:r>
      <w:r w:rsidRPr="00700B28">
        <w:rPr>
          <w:rFonts w:eastAsia="Times New Roman"/>
          <w:color w:val="000000"/>
          <w:sz w:val="24"/>
          <w:szCs w:val="24"/>
        </w:rPr>
        <w:t xml:space="preserve"> to prove that the collaboration </w:t>
      </w:r>
      <w:r>
        <w:rPr>
          <w:rFonts w:eastAsia="Times New Roman"/>
          <w:color w:val="000000"/>
          <w:sz w:val="24"/>
          <w:szCs w:val="24"/>
        </w:rPr>
        <w:t xml:space="preserve">both </w:t>
      </w:r>
      <w:r w:rsidRPr="00700B28">
        <w:rPr>
          <w:rFonts w:eastAsia="Times New Roman"/>
          <w:color w:val="000000"/>
          <w:sz w:val="24"/>
          <w:szCs w:val="24"/>
        </w:rPr>
        <w:t xml:space="preserve">violated human rights and that the acts were anti-regime, meaning in some way they also violated the norms of the regime at the time. While it is relatively easy to show that collaboration violated someone’s human rights, such as </w:t>
      </w:r>
      <w:r>
        <w:rPr>
          <w:rFonts w:eastAsia="Times New Roman"/>
          <w:color w:val="000000"/>
          <w:sz w:val="24"/>
          <w:szCs w:val="24"/>
        </w:rPr>
        <w:t xml:space="preserve">the </w:t>
      </w:r>
      <w:r w:rsidRPr="00700B28">
        <w:rPr>
          <w:rFonts w:eastAsia="Times New Roman"/>
          <w:color w:val="000000"/>
          <w:sz w:val="24"/>
          <w:szCs w:val="24"/>
        </w:rPr>
        <w:t>right to privacy, it is much harder to demonstra</w:t>
      </w:r>
      <w:r>
        <w:rPr>
          <w:rFonts w:eastAsia="Times New Roman"/>
          <w:color w:val="000000"/>
          <w:sz w:val="24"/>
          <w:szCs w:val="24"/>
        </w:rPr>
        <w:t>te the second prong of the test.  T</w:t>
      </w:r>
      <w:r w:rsidRPr="00700B28">
        <w:rPr>
          <w:rFonts w:eastAsia="Times New Roman"/>
          <w:color w:val="000000"/>
          <w:sz w:val="24"/>
          <w:szCs w:val="24"/>
        </w:rPr>
        <w:t xml:space="preserve">herefore </w:t>
      </w:r>
      <w:r>
        <w:rPr>
          <w:rFonts w:eastAsia="Times New Roman"/>
          <w:color w:val="000000"/>
          <w:sz w:val="24"/>
          <w:szCs w:val="24"/>
        </w:rPr>
        <w:t>the new law in some ways shielded individuals from positive collaboration determinations because many cases didn’t technically violate the norms of the Ceaușescu regime</w:t>
      </w:r>
      <w:r w:rsidRPr="00700B28">
        <w:rPr>
          <w:rFonts w:eastAsia="Times New Roman"/>
          <w:color w:val="000000"/>
          <w:sz w:val="24"/>
          <w:szCs w:val="24"/>
        </w:rPr>
        <w:t xml:space="preserve">.  </w:t>
      </w:r>
      <w:r>
        <w:rPr>
          <w:rFonts w:eastAsia="Times New Roman"/>
          <w:color w:val="000000"/>
          <w:sz w:val="24"/>
          <w:szCs w:val="24"/>
        </w:rPr>
        <w:t xml:space="preserve">Nonetheless, the use of preambles allows information about collaboration to be </w:t>
      </w:r>
      <w:r w:rsidRPr="006C262F">
        <w:rPr>
          <w:rFonts w:cs="Times New Roman"/>
          <w:color w:val="000000"/>
          <w:sz w:val="24"/>
          <w:szCs w:val="24"/>
        </w:rPr>
        <w:t>publici</w:t>
      </w:r>
      <w:r>
        <w:rPr>
          <w:rFonts w:cs="Times New Roman"/>
          <w:color w:val="000000"/>
          <w:sz w:val="24"/>
          <w:szCs w:val="24"/>
        </w:rPr>
        <w:t>zed on the C.N.S.A.S.'s website</w:t>
      </w:r>
      <w:r w:rsidRPr="006C262F">
        <w:rPr>
          <w:rFonts w:cs="Times New Roman"/>
          <w:color w:val="000000"/>
          <w:sz w:val="24"/>
          <w:szCs w:val="24"/>
        </w:rPr>
        <w:t xml:space="preserve"> and</w:t>
      </w:r>
      <w:r>
        <w:rPr>
          <w:rFonts w:cs="Times New Roman"/>
          <w:color w:val="000000"/>
          <w:sz w:val="24"/>
          <w:szCs w:val="24"/>
        </w:rPr>
        <w:t>/or</w:t>
      </w:r>
      <w:r w:rsidRPr="006C262F">
        <w:rPr>
          <w:rFonts w:cs="Times New Roman"/>
          <w:color w:val="000000"/>
          <w:sz w:val="24"/>
          <w:szCs w:val="24"/>
        </w:rPr>
        <w:t xml:space="preserve"> included in the Official Gazette</w:t>
      </w:r>
      <w:r>
        <w:rPr>
          <w:rFonts w:cs="Times New Roman"/>
          <w:color w:val="000000"/>
          <w:sz w:val="24"/>
          <w:szCs w:val="24"/>
        </w:rPr>
        <w:t xml:space="preserve"> </w:t>
      </w:r>
      <w:r>
        <w:rPr>
          <w:rFonts w:eastAsia="Times New Roman"/>
          <w:color w:val="000000"/>
          <w:sz w:val="24"/>
          <w:szCs w:val="24"/>
        </w:rPr>
        <w:t xml:space="preserve">and prompts employment reviews by employers. </w:t>
      </w:r>
      <w:r>
        <w:rPr>
          <w:rFonts w:cs="Times New Roman"/>
          <w:color w:val="000000"/>
          <w:sz w:val="24"/>
          <w:szCs w:val="24"/>
        </w:rPr>
        <w:t xml:space="preserve">It promotes what </w:t>
      </w:r>
      <w:proofErr w:type="spellStart"/>
      <w:r>
        <w:rPr>
          <w:rFonts w:cs="Times New Roman"/>
          <w:color w:val="000000"/>
          <w:sz w:val="24"/>
          <w:szCs w:val="24"/>
        </w:rPr>
        <w:t>Petrescu</w:t>
      </w:r>
      <w:proofErr w:type="spellEnd"/>
      <w:r>
        <w:rPr>
          <w:rFonts w:cs="Times New Roman"/>
          <w:color w:val="000000"/>
          <w:sz w:val="24"/>
          <w:szCs w:val="24"/>
        </w:rPr>
        <w:t xml:space="preserve"> calls a “moral condemnation” of collaboration, preventing individuals from hiding collaboration that might not be technically actionable by the Court of Appeals</w:t>
      </w:r>
      <w:r w:rsidRPr="00DB4BA6">
        <w:rPr>
          <w:rFonts w:cs="Times New Roman"/>
          <w:color w:val="000000"/>
          <w:sz w:val="24"/>
          <w:szCs w:val="24"/>
        </w:rPr>
        <w:t>.</w:t>
      </w:r>
      <w:r>
        <w:rPr>
          <w:rStyle w:val="EndnoteReference"/>
          <w:rFonts w:cs="Times New Roman"/>
          <w:color w:val="000000"/>
          <w:sz w:val="24"/>
          <w:szCs w:val="24"/>
        </w:rPr>
        <w:endnoteReference w:id="63"/>
      </w:r>
      <w:r w:rsidRPr="006C262F">
        <w:rPr>
          <w:rFonts w:cs="Times New Roman"/>
          <w:color w:val="000000"/>
          <w:sz w:val="24"/>
          <w:szCs w:val="24"/>
        </w:rPr>
        <w:t xml:space="preserve">  </w:t>
      </w:r>
    </w:p>
    <w:p w:rsidR="0064274E" w:rsidRPr="000C044E" w:rsidRDefault="0064274E" w:rsidP="003B030F">
      <w:pPr>
        <w:spacing w:after="0" w:line="480" w:lineRule="auto"/>
        <w:rPr>
          <w:rFonts w:eastAsia="Times New Roman"/>
          <w:color w:val="000000"/>
          <w:sz w:val="24"/>
          <w:szCs w:val="24"/>
        </w:rPr>
      </w:pPr>
      <w:r>
        <w:rPr>
          <w:rFonts w:cs="Times New Roman"/>
          <w:color w:val="000000"/>
          <w:sz w:val="24"/>
          <w:szCs w:val="24"/>
        </w:rPr>
        <w:tab/>
        <w:t xml:space="preserve">There is a noticeable aversion to having one’s reputation tainted by the stain of collaboration. </w:t>
      </w:r>
      <w:r w:rsidRPr="006C262F">
        <w:rPr>
          <w:rFonts w:cs="Times New Roman"/>
          <w:color w:val="000000"/>
          <w:sz w:val="24"/>
          <w:szCs w:val="24"/>
        </w:rPr>
        <w:t>The C.N.S.A.S. President</w:t>
      </w:r>
      <w:r w:rsidRPr="002D6533">
        <w:rPr>
          <w:rFonts w:cs="Times New Roman"/>
          <w:color w:val="000000"/>
          <w:sz w:val="24"/>
          <w:szCs w:val="24"/>
        </w:rPr>
        <w:t xml:space="preserve"> </w:t>
      </w:r>
      <w:r w:rsidRPr="006C262F">
        <w:rPr>
          <w:rFonts w:cs="Times New Roman"/>
          <w:color w:val="000000"/>
          <w:sz w:val="24"/>
          <w:szCs w:val="24"/>
        </w:rPr>
        <w:t xml:space="preserve">cited the significant number of trials in which </w:t>
      </w:r>
      <w:r>
        <w:rPr>
          <w:rFonts w:cs="Times New Roman"/>
          <w:color w:val="000000"/>
          <w:sz w:val="24"/>
          <w:szCs w:val="24"/>
        </w:rPr>
        <w:t>individuals legally contest allegations of former regime collaboration because they do not want their legacies marred.  In particular, the C.N.S.A.S. notes that media magnates and business leaders spend</w:t>
      </w:r>
      <w:r w:rsidRPr="006C262F">
        <w:rPr>
          <w:rFonts w:cs="Times New Roman"/>
          <w:color w:val="000000"/>
          <w:sz w:val="24"/>
          <w:szCs w:val="24"/>
        </w:rPr>
        <w:t xml:space="preserve"> </w:t>
      </w:r>
      <w:r>
        <w:rPr>
          <w:rFonts w:cs="Times New Roman"/>
          <w:color w:val="000000"/>
          <w:sz w:val="24"/>
          <w:szCs w:val="24"/>
        </w:rPr>
        <w:t>significant sums hiring</w:t>
      </w:r>
      <w:r w:rsidRPr="006C262F">
        <w:rPr>
          <w:rFonts w:cs="Times New Roman"/>
          <w:color w:val="000000"/>
          <w:sz w:val="24"/>
          <w:szCs w:val="24"/>
        </w:rPr>
        <w:t xml:space="preserve"> the top legal </w:t>
      </w:r>
      <w:r>
        <w:rPr>
          <w:rFonts w:cs="Times New Roman"/>
          <w:color w:val="000000"/>
          <w:sz w:val="24"/>
          <w:szCs w:val="24"/>
        </w:rPr>
        <w:t xml:space="preserve">firms to contest collaboration allegations in </w:t>
      </w:r>
      <w:r>
        <w:rPr>
          <w:rFonts w:cs="Times New Roman"/>
          <w:color w:val="000000"/>
          <w:sz w:val="24"/>
          <w:szCs w:val="24"/>
        </w:rPr>
        <w:lastRenderedPageBreak/>
        <w:t>trials that can last seven years</w:t>
      </w:r>
      <w:r w:rsidRPr="006C262F">
        <w:rPr>
          <w:rFonts w:cs="Times New Roman"/>
          <w:color w:val="000000"/>
          <w:sz w:val="24"/>
          <w:szCs w:val="24"/>
        </w:rPr>
        <w:t>.</w:t>
      </w:r>
      <w:r w:rsidRPr="006C262F">
        <w:rPr>
          <w:rStyle w:val="EndnoteReference"/>
          <w:rFonts w:cs="Times New Roman"/>
          <w:color w:val="000000"/>
          <w:sz w:val="24"/>
          <w:szCs w:val="24"/>
        </w:rPr>
        <w:endnoteReference w:id="64"/>
      </w:r>
      <w:r>
        <w:rPr>
          <w:rFonts w:cs="Times New Roman"/>
          <w:color w:val="000000"/>
          <w:sz w:val="24"/>
          <w:szCs w:val="24"/>
        </w:rPr>
        <w:t xml:space="preserve"> This suggests that public shaming through file disclosures is perceived as meaningful by citizens, demonstrating the potential power of disclosures to catalyze bureaucratic changes.</w:t>
      </w:r>
    </w:p>
    <w:p w:rsidR="0064274E" w:rsidRPr="00BF6B1C" w:rsidRDefault="0064274E" w:rsidP="00700B28">
      <w:pPr>
        <w:spacing w:after="0" w:line="480" w:lineRule="auto"/>
        <w:rPr>
          <w:sz w:val="24"/>
          <w:szCs w:val="24"/>
        </w:rPr>
      </w:pPr>
      <w:r>
        <w:rPr>
          <w:sz w:val="24"/>
          <w:szCs w:val="24"/>
        </w:rPr>
        <w:tab/>
        <w:t>I</w:t>
      </w:r>
      <w:r w:rsidRPr="00265BA6">
        <w:rPr>
          <w:sz w:val="24"/>
          <w:szCs w:val="24"/>
        </w:rPr>
        <w:t xml:space="preserve">n </w:t>
      </w:r>
      <w:r>
        <w:rPr>
          <w:sz w:val="24"/>
          <w:szCs w:val="24"/>
        </w:rPr>
        <w:t xml:space="preserve">both </w:t>
      </w:r>
      <w:r w:rsidRPr="00265BA6">
        <w:rPr>
          <w:sz w:val="24"/>
          <w:szCs w:val="24"/>
        </w:rPr>
        <w:t xml:space="preserve">Bulgaria </w:t>
      </w:r>
      <w:r>
        <w:rPr>
          <w:sz w:val="24"/>
          <w:szCs w:val="24"/>
        </w:rPr>
        <w:t xml:space="preserve">and Romania </w:t>
      </w:r>
      <w:r w:rsidRPr="00265BA6">
        <w:rPr>
          <w:sz w:val="24"/>
          <w:szCs w:val="24"/>
        </w:rPr>
        <w:t xml:space="preserve">disclosures are starting to impact </w:t>
      </w:r>
      <w:r>
        <w:rPr>
          <w:sz w:val="24"/>
          <w:szCs w:val="24"/>
        </w:rPr>
        <w:t>political office holders</w:t>
      </w:r>
      <w:r w:rsidRPr="00265BA6">
        <w:rPr>
          <w:sz w:val="24"/>
          <w:szCs w:val="24"/>
        </w:rPr>
        <w:t xml:space="preserve">.  </w:t>
      </w:r>
      <w:r>
        <w:rPr>
          <w:rFonts w:cs="Times New Roman"/>
          <w:color w:val="000000"/>
          <w:sz w:val="24"/>
          <w:szCs w:val="24"/>
        </w:rPr>
        <w:t>Some</w:t>
      </w:r>
      <w:r w:rsidRPr="006C262F">
        <w:rPr>
          <w:rFonts w:cs="Times New Roman"/>
          <w:color w:val="000000"/>
          <w:sz w:val="24"/>
          <w:szCs w:val="24"/>
        </w:rPr>
        <w:t xml:space="preserve"> individuals self-l</w:t>
      </w:r>
      <w:r>
        <w:rPr>
          <w:rFonts w:cs="Times New Roman"/>
          <w:color w:val="000000"/>
          <w:sz w:val="24"/>
          <w:szCs w:val="24"/>
        </w:rPr>
        <w:t>ustrate, or remove themselves f</w:t>
      </w:r>
      <w:r w:rsidRPr="006C262F">
        <w:rPr>
          <w:rFonts w:cs="Times New Roman"/>
          <w:color w:val="000000"/>
          <w:sz w:val="24"/>
          <w:szCs w:val="24"/>
        </w:rPr>
        <w:t>r</w:t>
      </w:r>
      <w:r>
        <w:rPr>
          <w:rFonts w:cs="Times New Roman"/>
          <w:color w:val="000000"/>
          <w:sz w:val="24"/>
          <w:szCs w:val="24"/>
        </w:rPr>
        <w:t>om consideration for</w:t>
      </w:r>
      <w:r w:rsidRPr="006C262F">
        <w:rPr>
          <w:rFonts w:cs="Times New Roman"/>
          <w:color w:val="000000"/>
          <w:sz w:val="24"/>
          <w:szCs w:val="24"/>
        </w:rPr>
        <w:t xml:space="preserve"> </w:t>
      </w:r>
      <w:r>
        <w:rPr>
          <w:rFonts w:cs="Times New Roman"/>
          <w:color w:val="000000"/>
          <w:sz w:val="24"/>
          <w:szCs w:val="24"/>
        </w:rPr>
        <w:t xml:space="preserve">public positions out of </w:t>
      </w:r>
      <w:r w:rsidRPr="006C262F">
        <w:rPr>
          <w:rFonts w:cs="Times New Roman"/>
          <w:color w:val="000000"/>
          <w:sz w:val="24"/>
          <w:szCs w:val="24"/>
        </w:rPr>
        <w:t>fear of a positive disclosure.</w:t>
      </w:r>
      <w:r w:rsidRPr="00BF6B1C">
        <w:rPr>
          <w:rFonts w:cs="Times New Roman"/>
          <w:color w:val="000000"/>
          <w:sz w:val="24"/>
          <w:szCs w:val="24"/>
        </w:rPr>
        <w:t xml:space="preserve"> </w:t>
      </w:r>
      <w:r>
        <w:rPr>
          <w:rFonts w:cs="Times New Roman"/>
          <w:color w:val="000000"/>
          <w:sz w:val="24"/>
          <w:szCs w:val="24"/>
        </w:rPr>
        <w:t xml:space="preserve">Since nearly all file reviews are publicized, the transparency of the process creates a real threat of public revelation. </w:t>
      </w:r>
      <w:r w:rsidRPr="00265BA6">
        <w:rPr>
          <w:sz w:val="24"/>
          <w:szCs w:val="24"/>
        </w:rPr>
        <w:t xml:space="preserve">With respect to political parties, </w:t>
      </w:r>
      <w:r>
        <w:rPr>
          <w:sz w:val="24"/>
          <w:szCs w:val="24"/>
        </w:rPr>
        <w:t>b</w:t>
      </w:r>
      <w:r>
        <w:rPr>
          <w:rFonts w:cs="Times New Roman"/>
          <w:color w:val="000000"/>
          <w:sz w:val="24"/>
          <w:szCs w:val="24"/>
        </w:rPr>
        <w:t>oth the Dossier Commission and the C.N.S.A.S.</w:t>
      </w:r>
      <w:r w:rsidRPr="006C262F">
        <w:rPr>
          <w:rFonts w:cs="Times New Roman"/>
          <w:color w:val="000000"/>
          <w:sz w:val="24"/>
          <w:szCs w:val="24"/>
        </w:rPr>
        <w:t xml:space="preserve"> argued that political parties vet their party lists and </w:t>
      </w:r>
      <w:r>
        <w:rPr>
          <w:rFonts w:cs="Times New Roman"/>
          <w:color w:val="000000"/>
          <w:sz w:val="24"/>
          <w:szCs w:val="24"/>
        </w:rPr>
        <w:t>are less likely to</w:t>
      </w:r>
      <w:r w:rsidRPr="006C262F">
        <w:rPr>
          <w:rFonts w:cs="Times New Roman"/>
          <w:color w:val="000000"/>
          <w:sz w:val="24"/>
          <w:szCs w:val="24"/>
        </w:rPr>
        <w:t xml:space="preserve"> bring known secret service agents or collaborators forward for elections as happened in the past.</w:t>
      </w:r>
      <w:r w:rsidRPr="00265BA6">
        <w:rPr>
          <w:rStyle w:val="EndnoteReference"/>
          <w:rFonts w:cs="Times New Roman"/>
          <w:color w:val="000000"/>
          <w:sz w:val="24"/>
          <w:szCs w:val="24"/>
        </w:rPr>
        <w:t xml:space="preserve"> </w:t>
      </w:r>
      <w:r w:rsidRPr="006C262F">
        <w:rPr>
          <w:rStyle w:val="EndnoteReference"/>
          <w:rFonts w:cs="Times New Roman"/>
          <w:color w:val="000000"/>
          <w:sz w:val="24"/>
          <w:szCs w:val="24"/>
        </w:rPr>
        <w:endnoteReference w:id="65"/>
      </w:r>
      <w:r w:rsidRPr="006C262F">
        <w:rPr>
          <w:rFonts w:cs="Times New Roman"/>
          <w:color w:val="000000"/>
          <w:sz w:val="24"/>
          <w:szCs w:val="24"/>
        </w:rPr>
        <w:t xml:space="preserve"> </w:t>
      </w:r>
      <w:r>
        <w:rPr>
          <w:sz w:val="24"/>
          <w:szCs w:val="24"/>
        </w:rPr>
        <w:t xml:space="preserve">In Bulgaria the Commission alleged that </w:t>
      </w:r>
      <w:r w:rsidRPr="00265BA6">
        <w:rPr>
          <w:sz w:val="24"/>
          <w:szCs w:val="24"/>
        </w:rPr>
        <w:t xml:space="preserve">information about former regime complicity </w:t>
      </w:r>
      <w:r>
        <w:rPr>
          <w:sz w:val="24"/>
          <w:szCs w:val="24"/>
        </w:rPr>
        <w:t>has electoral consequences, providing</w:t>
      </w:r>
      <w:r w:rsidRPr="00BF6B1C">
        <w:rPr>
          <w:sz w:val="24"/>
          <w:szCs w:val="24"/>
        </w:rPr>
        <w:t xml:space="preserve"> an edge to “clean candidates.” </w:t>
      </w:r>
      <w:r w:rsidRPr="00BF6B1C">
        <w:rPr>
          <w:rStyle w:val="EndnoteReference"/>
          <w:sz w:val="24"/>
          <w:szCs w:val="24"/>
        </w:rPr>
        <w:endnoteReference w:id="66"/>
      </w:r>
      <w:r>
        <w:rPr>
          <w:sz w:val="24"/>
          <w:szCs w:val="24"/>
        </w:rPr>
        <w:t xml:space="preserve"> </w:t>
      </w:r>
      <w:r>
        <w:rPr>
          <w:rFonts w:cs="Times New Roman"/>
          <w:color w:val="000000"/>
          <w:sz w:val="24"/>
          <w:szCs w:val="24"/>
        </w:rPr>
        <w:t xml:space="preserve">Ultimately, the true </w:t>
      </w:r>
      <w:r w:rsidRPr="00265BA6">
        <w:rPr>
          <w:sz w:val="24"/>
          <w:szCs w:val="24"/>
        </w:rPr>
        <w:t xml:space="preserve">power for bureaucratic change rests with citizens who can vote </w:t>
      </w:r>
      <w:r>
        <w:rPr>
          <w:sz w:val="24"/>
          <w:szCs w:val="24"/>
        </w:rPr>
        <w:t xml:space="preserve">candidates </w:t>
      </w:r>
      <w:r w:rsidRPr="00265BA6">
        <w:rPr>
          <w:sz w:val="24"/>
          <w:szCs w:val="24"/>
        </w:rPr>
        <w:t xml:space="preserve">in or out of office on the basis of </w:t>
      </w:r>
      <w:r>
        <w:rPr>
          <w:sz w:val="24"/>
          <w:szCs w:val="24"/>
        </w:rPr>
        <w:t xml:space="preserve">this </w:t>
      </w:r>
      <w:r w:rsidRPr="00265BA6">
        <w:rPr>
          <w:sz w:val="24"/>
          <w:szCs w:val="24"/>
        </w:rPr>
        <w:t>information</w:t>
      </w:r>
      <w:r>
        <w:rPr>
          <w:sz w:val="24"/>
          <w:szCs w:val="24"/>
        </w:rPr>
        <w:t>. Some intellectuals and policymakers in Romania and Bulgaria see t</w:t>
      </w:r>
      <w:r w:rsidRPr="00BF6B1C">
        <w:rPr>
          <w:sz w:val="24"/>
          <w:szCs w:val="24"/>
        </w:rPr>
        <w:t xml:space="preserve">his informal </w:t>
      </w:r>
      <w:r>
        <w:rPr>
          <w:sz w:val="24"/>
          <w:szCs w:val="24"/>
        </w:rPr>
        <w:t xml:space="preserve">system of </w:t>
      </w:r>
      <w:r w:rsidRPr="00BF6B1C">
        <w:rPr>
          <w:sz w:val="24"/>
          <w:szCs w:val="24"/>
        </w:rPr>
        <w:t xml:space="preserve">lustration as a transparent way of creating a new elite—a gradual process but one with a moral mandate. </w:t>
      </w:r>
      <w:r w:rsidRPr="00BF6B1C">
        <w:rPr>
          <w:rStyle w:val="EndnoteReference"/>
          <w:sz w:val="24"/>
          <w:szCs w:val="24"/>
        </w:rPr>
        <w:endnoteReference w:id="67"/>
      </w:r>
      <w:r w:rsidRPr="00BF6B1C">
        <w:rPr>
          <w:sz w:val="24"/>
          <w:szCs w:val="24"/>
        </w:rPr>
        <w:t xml:space="preserve"> </w:t>
      </w:r>
    </w:p>
    <w:p w:rsidR="0064274E" w:rsidRDefault="0064274E" w:rsidP="002D49EF">
      <w:pPr>
        <w:spacing w:after="0" w:line="480" w:lineRule="auto"/>
        <w:ind w:firstLine="720"/>
        <w:jc w:val="both"/>
        <w:rPr>
          <w:i/>
          <w:sz w:val="24"/>
          <w:szCs w:val="24"/>
        </w:rPr>
      </w:pPr>
    </w:p>
    <w:p w:rsidR="0064274E" w:rsidRPr="009E7E61" w:rsidRDefault="0064274E" w:rsidP="002D49EF">
      <w:pPr>
        <w:pStyle w:val="ListParagraph"/>
        <w:spacing w:line="480" w:lineRule="auto"/>
        <w:ind w:left="0"/>
        <w:rPr>
          <w:rFonts w:eastAsia="Times New Roman"/>
          <w:b/>
          <w:color w:val="000000"/>
          <w:szCs w:val="20"/>
        </w:rPr>
      </w:pPr>
      <w:r>
        <w:rPr>
          <w:rFonts w:eastAsia="Times New Roman"/>
          <w:b/>
          <w:color w:val="000000"/>
          <w:szCs w:val="20"/>
        </w:rPr>
        <w:t>Conclusion</w:t>
      </w:r>
    </w:p>
    <w:p w:rsidR="003A0AFD" w:rsidRDefault="0064274E" w:rsidP="002B6D2F">
      <w:pPr>
        <w:pStyle w:val="ListParagraph"/>
        <w:spacing w:line="480" w:lineRule="auto"/>
        <w:ind w:left="0"/>
        <w:rPr>
          <w:rFonts w:eastAsia="Times New Roman"/>
          <w:color w:val="000000"/>
          <w:szCs w:val="20"/>
        </w:rPr>
      </w:pPr>
      <w:r>
        <w:rPr>
          <w:rFonts w:eastAsia="Times New Roman"/>
        </w:rPr>
        <w:tab/>
      </w:r>
      <w:r w:rsidRPr="007B6BF2">
        <w:t xml:space="preserve">Bulgaria </w:t>
      </w:r>
      <w:r>
        <w:t xml:space="preserve">and Romania are </w:t>
      </w:r>
      <w:r w:rsidRPr="007B6BF2">
        <w:t>engaged in a</w:t>
      </w:r>
      <w:r>
        <w:t xml:space="preserve">n expansive </w:t>
      </w:r>
      <w:r w:rsidRPr="007B6BF2">
        <w:t xml:space="preserve">file access </w:t>
      </w:r>
      <w:r>
        <w:t xml:space="preserve">and disclosure </w:t>
      </w:r>
      <w:r w:rsidRPr="007B6BF2">
        <w:t xml:space="preserve">program involving the </w:t>
      </w:r>
      <w:r>
        <w:t>revelation of former regime collaboration of tens of thousands of individuals in current positions of political and social importance.</w:t>
      </w:r>
      <w:r>
        <w:rPr>
          <w:rFonts w:eastAsia="Times New Roman"/>
        </w:rPr>
        <w:t xml:space="preserve">  </w:t>
      </w:r>
      <w:r>
        <w:rPr>
          <w:rFonts w:eastAsia="Times New Roman"/>
          <w:color w:val="000000"/>
          <w:szCs w:val="20"/>
        </w:rPr>
        <w:t>The logistical and temporal limitations on this active public disclosure process remain unclear. The President of the C.N.S.A.S. estimated that the process of disclosures in Romania still has 15-20 years to go.</w:t>
      </w:r>
      <w:r w:rsidRPr="00EA2E2D">
        <w:rPr>
          <w:rStyle w:val="EndnoteReference"/>
          <w:rFonts w:eastAsia="Times New Roman"/>
          <w:color w:val="000000"/>
          <w:szCs w:val="20"/>
        </w:rPr>
        <w:t xml:space="preserve"> </w:t>
      </w:r>
      <w:r>
        <w:rPr>
          <w:rStyle w:val="EndnoteReference"/>
          <w:rFonts w:eastAsia="Times New Roman"/>
          <w:color w:val="000000"/>
          <w:szCs w:val="20"/>
        </w:rPr>
        <w:endnoteReference w:id="68"/>
      </w:r>
      <w:r>
        <w:rPr>
          <w:color w:val="000000"/>
        </w:rPr>
        <w:t xml:space="preserve"> </w:t>
      </w:r>
      <w:r>
        <w:rPr>
          <w:rFonts w:eastAsia="Times New Roman"/>
          <w:color w:val="000000"/>
          <w:szCs w:val="20"/>
        </w:rPr>
        <w:t xml:space="preserve"> Bulgaria’s Commission also estimated that public disclosures would continue until a new generation of political leaders </w:t>
      </w:r>
      <w:r>
        <w:rPr>
          <w:rFonts w:eastAsia="Times New Roman"/>
          <w:color w:val="000000"/>
          <w:szCs w:val="20"/>
        </w:rPr>
        <w:lastRenderedPageBreak/>
        <w:t>takes power with no communist ties to the past.</w:t>
      </w:r>
      <w:r>
        <w:rPr>
          <w:rStyle w:val="EndnoteReference"/>
          <w:rFonts w:eastAsia="Times New Roman"/>
          <w:color w:val="000000"/>
          <w:szCs w:val="20"/>
        </w:rPr>
        <w:endnoteReference w:id="69"/>
      </w:r>
      <w:r>
        <w:rPr>
          <w:rFonts w:eastAsia="Times New Roman"/>
          <w:color w:val="000000"/>
          <w:szCs w:val="20"/>
        </w:rPr>
        <w:t xml:space="preserve"> </w:t>
      </w:r>
      <w:r w:rsidR="007C0E2E">
        <w:rPr>
          <w:rFonts w:eastAsia="Times New Roman"/>
          <w:color w:val="000000"/>
          <w:szCs w:val="20"/>
        </w:rPr>
        <w:t xml:space="preserve"> If legally permitted the process of public disclosure could continue, resulting in a late but extensive form of transitional justice.</w:t>
      </w:r>
      <w:r w:rsidR="002B6D2F">
        <w:rPr>
          <w:rFonts w:eastAsia="Times New Roman"/>
          <w:color w:val="000000"/>
          <w:szCs w:val="20"/>
        </w:rPr>
        <w:t xml:space="preserve"> However, the history of interventions in both countries to limit lustration </w:t>
      </w:r>
      <w:r w:rsidR="00102551">
        <w:rPr>
          <w:rFonts w:eastAsia="Times New Roman"/>
          <w:color w:val="000000"/>
          <w:szCs w:val="20"/>
        </w:rPr>
        <w:t>casts</w:t>
      </w:r>
      <w:r w:rsidR="002B6D2F">
        <w:rPr>
          <w:rFonts w:eastAsia="Times New Roman"/>
          <w:color w:val="000000"/>
          <w:szCs w:val="20"/>
        </w:rPr>
        <w:t xml:space="preserve"> </w:t>
      </w:r>
      <w:r w:rsidR="0077049E">
        <w:rPr>
          <w:rFonts w:eastAsia="Times New Roman"/>
          <w:color w:val="000000"/>
          <w:szCs w:val="20"/>
        </w:rPr>
        <w:t>doubt</w:t>
      </w:r>
      <w:r w:rsidR="002B6D2F">
        <w:rPr>
          <w:rFonts w:eastAsia="Times New Roman"/>
          <w:color w:val="000000"/>
          <w:szCs w:val="20"/>
        </w:rPr>
        <w:t xml:space="preserve"> </w:t>
      </w:r>
      <w:r w:rsidR="00102551">
        <w:rPr>
          <w:rFonts w:eastAsia="Times New Roman"/>
          <w:color w:val="000000"/>
          <w:szCs w:val="20"/>
        </w:rPr>
        <w:t xml:space="preserve">on </w:t>
      </w:r>
      <w:r w:rsidR="002B6D2F">
        <w:rPr>
          <w:rFonts w:eastAsia="Times New Roman"/>
          <w:color w:val="000000"/>
          <w:szCs w:val="20"/>
        </w:rPr>
        <w:t xml:space="preserve">the longevity of the measures, in particular if the </w:t>
      </w:r>
      <w:r w:rsidR="00570D3F">
        <w:rPr>
          <w:rFonts w:eastAsia="Times New Roman"/>
          <w:color w:val="000000"/>
          <w:szCs w:val="20"/>
        </w:rPr>
        <w:t xml:space="preserve">disclosures </w:t>
      </w:r>
      <w:r w:rsidR="002B6D2F">
        <w:rPr>
          <w:rFonts w:eastAsia="Times New Roman"/>
          <w:color w:val="000000"/>
          <w:szCs w:val="20"/>
        </w:rPr>
        <w:t xml:space="preserve">roil political leaders. </w:t>
      </w:r>
    </w:p>
    <w:p w:rsidR="003A0AFD" w:rsidRDefault="003A0AFD" w:rsidP="002B6D2F">
      <w:pPr>
        <w:pStyle w:val="ListParagraph"/>
        <w:spacing w:line="480" w:lineRule="auto"/>
        <w:ind w:left="0"/>
        <w:rPr>
          <w:rFonts w:eastAsia="Times New Roman"/>
        </w:rPr>
      </w:pPr>
      <w:r>
        <w:rPr>
          <w:rFonts w:eastAsia="Times New Roman"/>
          <w:color w:val="000000"/>
          <w:szCs w:val="20"/>
        </w:rPr>
        <w:tab/>
      </w:r>
      <w:r>
        <w:rPr>
          <w:rFonts w:eastAsia="Times New Roman"/>
        </w:rPr>
        <w:t>The cases expand our understanding of lustration measures, suggesting an informal variant of the dominant regional approach to lustration. T</w:t>
      </w:r>
      <w:r w:rsidR="00102551">
        <w:rPr>
          <w:rFonts w:eastAsia="Times New Roman"/>
          <w:color w:val="000000"/>
          <w:szCs w:val="20"/>
        </w:rPr>
        <w:t>he structure of public disclosures</w:t>
      </w:r>
      <w:r w:rsidR="00EE3942">
        <w:rPr>
          <w:rFonts w:eastAsia="Times New Roman"/>
          <w:color w:val="000000"/>
          <w:szCs w:val="20"/>
        </w:rPr>
        <w:t xml:space="preserve"> in Romania and Bulgaria</w:t>
      </w:r>
      <w:r w:rsidR="00102551">
        <w:rPr>
          <w:rFonts w:eastAsia="Times New Roman"/>
          <w:color w:val="000000"/>
          <w:szCs w:val="20"/>
        </w:rPr>
        <w:t xml:space="preserve">, from the type of individuals targeted for screening, </w:t>
      </w:r>
      <w:r w:rsidR="00D92C0D">
        <w:rPr>
          <w:rFonts w:eastAsia="Times New Roman"/>
          <w:color w:val="000000"/>
          <w:szCs w:val="20"/>
        </w:rPr>
        <w:t xml:space="preserve">to </w:t>
      </w:r>
      <w:r w:rsidR="00102551">
        <w:rPr>
          <w:rFonts w:eastAsia="Times New Roman"/>
          <w:color w:val="000000"/>
          <w:szCs w:val="20"/>
        </w:rPr>
        <w:t xml:space="preserve">the scope of positions screened, </w:t>
      </w:r>
      <w:r w:rsidR="00D92C0D">
        <w:rPr>
          <w:rFonts w:eastAsia="Times New Roman"/>
          <w:color w:val="000000"/>
          <w:szCs w:val="20"/>
        </w:rPr>
        <w:t>to</w:t>
      </w:r>
      <w:r w:rsidR="00102551">
        <w:rPr>
          <w:rFonts w:eastAsia="Times New Roman"/>
          <w:color w:val="000000"/>
          <w:szCs w:val="20"/>
        </w:rPr>
        <w:t xml:space="preserve"> the transparency of the processes, echoes other regional lustration programs. In terms of function, </w:t>
      </w:r>
      <w:r w:rsidR="00102551">
        <w:rPr>
          <w:rFonts w:eastAsia="Times New Roman"/>
        </w:rPr>
        <w:t xml:space="preserve">the public disclosures </w:t>
      </w:r>
      <w:r w:rsidR="00102551">
        <w:rPr>
          <w:rFonts w:eastAsia="Times New Roman"/>
          <w:color w:val="000000"/>
          <w:szCs w:val="20"/>
        </w:rPr>
        <w:t xml:space="preserve">mirror the bureaucratic change and </w:t>
      </w:r>
      <w:r w:rsidR="009843CC">
        <w:rPr>
          <w:rFonts w:eastAsia="Times New Roman"/>
          <w:color w:val="000000"/>
          <w:szCs w:val="20"/>
        </w:rPr>
        <w:t>moral</w:t>
      </w:r>
      <w:r w:rsidR="00102551">
        <w:rPr>
          <w:rFonts w:eastAsia="Times New Roman"/>
          <w:color w:val="000000"/>
          <w:szCs w:val="20"/>
        </w:rPr>
        <w:t xml:space="preserve"> change elements found in other </w:t>
      </w:r>
      <w:r w:rsidR="00D92C0D">
        <w:rPr>
          <w:rFonts w:eastAsia="Times New Roman"/>
          <w:color w:val="000000"/>
          <w:szCs w:val="20"/>
        </w:rPr>
        <w:t>post-communist</w:t>
      </w:r>
      <w:r w:rsidR="00102551">
        <w:rPr>
          <w:rFonts w:eastAsia="Times New Roman"/>
          <w:color w:val="000000"/>
          <w:szCs w:val="20"/>
        </w:rPr>
        <w:t xml:space="preserve"> programs. In particular</w:t>
      </w:r>
      <w:r w:rsidR="00D92C0D">
        <w:rPr>
          <w:rFonts w:eastAsia="Times New Roman"/>
          <w:color w:val="000000"/>
          <w:szCs w:val="20"/>
        </w:rPr>
        <w:t>,</w:t>
      </w:r>
      <w:r w:rsidR="00102551">
        <w:rPr>
          <w:rFonts w:eastAsia="Times New Roman"/>
          <w:color w:val="000000"/>
          <w:szCs w:val="20"/>
        </w:rPr>
        <w:t xml:space="preserve"> the use of shaming </w:t>
      </w:r>
      <w:r w:rsidR="00D92C0D">
        <w:rPr>
          <w:rFonts w:eastAsia="Times New Roman"/>
          <w:color w:val="000000"/>
          <w:szCs w:val="20"/>
        </w:rPr>
        <w:t xml:space="preserve">and/or the threat of disclosure </w:t>
      </w:r>
      <w:r w:rsidR="00102551">
        <w:rPr>
          <w:rFonts w:eastAsia="Times New Roman"/>
          <w:color w:val="000000"/>
          <w:szCs w:val="20"/>
        </w:rPr>
        <w:t xml:space="preserve">to prompt </w:t>
      </w:r>
      <w:r w:rsidR="00D92C0D">
        <w:rPr>
          <w:rFonts w:eastAsia="Times New Roman"/>
          <w:color w:val="000000"/>
          <w:szCs w:val="20"/>
        </w:rPr>
        <w:t xml:space="preserve">voluntary </w:t>
      </w:r>
      <w:r w:rsidR="00102551">
        <w:rPr>
          <w:rFonts w:eastAsia="Times New Roman"/>
          <w:color w:val="000000"/>
          <w:szCs w:val="20"/>
        </w:rPr>
        <w:t xml:space="preserve">employment resignations </w:t>
      </w:r>
      <w:r w:rsidR="00D92C0D">
        <w:rPr>
          <w:rFonts w:eastAsia="Times New Roman"/>
          <w:color w:val="000000"/>
          <w:szCs w:val="20"/>
        </w:rPr>
        <w:t xml:space="preserve">bears a strong resemble to </w:t>
      </w:r>
      <w:r w:rsidR="00102551">
        <w:rPr>
          <w:rFonts w:eastAsia="Times New Roman"/>
          <w:color w:val="000000"/>
          <w:szCs w:val="20"/>
        </w:rPr>
        <w:t xml:space="preserve">the cases of lustration </w:t>
      </w:r>
      <w:r w:rsidR="00D92C0D">
        <w:rPr>
          <w:rFonts w:eastAsia="Times New Roman"/>
          <w:color w:val="000000"/>
          <w:szCs w:val="20"/>
        </w:rPr>
        <w:t>in Hungary and Poland</w:t>
      </w:r>
      <w:r w:rsidR="00102551">
        <w:rPr>
          <w:rFonts w:eastAsia="Times New Roman"/>
          <w:color w:val="000000"/>
          <w:szCs w:val="20"/>
        </w:rPr>
        <w:t xml:space="preserve">.  </w:t>
      </w:r>
      <w:r w:rsidR="00BB251C">
        <w:rPr>
          <w:rFonts w:eastAsia="Times New Roman"/>
          <w:color w:val="000000"/>
          <w:szCs w:val="20"/>
        </w:rPr>
        <w:t>Therefore, despite the absence of lustration laws in Bulgaria and Romania there is a</w:t>
      </w:r>
      <w:r w:rsidR="004E1215">
        <w:rPr>
          <w:rFonts w:eastAsia="Times New Roman"/>
          <w:color w:val="000000"/>
          <w:szCs w:val="20"/>
        </w:rPr>
        <w:t xml:space="preserve">n informal </w:t>
      </w:r>
      <w:r w:rsidR="00BB251C">
        <w:rPr>
          <w:rFonts w:eastAsia="Times New Roman"/>
          <w:color w:val="000000"/>
          <w:szCs w:val="20"/>
        </w:rPr>
        <w:t>lustration process going on.</w:t>
      </w:r>
      <w:r w:rsidR="00EE3942">
        <w:rPr>
          <w:rFonts w:eastAsia="Times New Roman"/>
        </w:rPr>
        <w:tab/>
      </w:r>
    </w:p>
    <w:p w:rsidR="003A0AFD" w:rsidRDefault="003A0AFD" w:rsidP="003A0AFD">
      <w:pPr>
        <w:pStyle w:val="ListParagraph"/>
        <w:spacing w:line="480" w:lineRule="auto"/>
        <w:ind w:left="0"/>
        <w:rPr>
          <w:rFonts w:eastAsia="Times New Roman"/>
        </w:rPr>
      </w:pPr>
      <w:r>
        <w:rPr>
          <w:rFonts w:eastAsia="Times New Roman"/>
        </w:rPr>
        <w:tab/>
        <w:t>T</w:t>
      </w:r>
      <w:r w:rsidR="0078164A">
        <w:rPr>
          <w:rFonts w:eastAsia="Times New Roman"/>
        </w:rPr>
        <w:t>he</w:t>
      </w:r>
      <w:r>
        <w:rPr>
          <w:rFonts w:eastAsia="Times New Roman"/>
        </w:rPr>
        <w:t xml:space="preserve"> paper suggested </w:t>
      </w:r>
      <w:r w:rsidR="0078164A">
        <w:rPr>
          <w:rFonts w:eastAsia="Times New Roman"/>
        </w:rPr>
        <w:t xml:space="preserve">several indirect methods by which disclosures </w:t>
      </w:r>
      <w:r w:rsidR="00102551">
        <w:rPr>
          <w:rFonts w:eastAsia="Times New Roman"/>
        </w:rPr>
        <w:t xml:space="preserve">could </w:t>
      </w:r>
      <w:r w:rsidR="0078164A">
        <w:rPr>
          <w:rFonts w:eastAsia="Times New Roman"/>
        </w:rPr>
        <w:t>prompt bureaucratic change</w:t>
      </w:r>
      <w:r w:rsidR="00474A39">
        <w:rPr>
          <w:rFonts w:eastAsia="Times New Roman"/>
        </w:rPr>
        <w:t>, and explained shifts in citizen responsiveness to public disclosures over time</w:t>
      </w:r>
      <w:r w:rsidR="0078164A">
        <w:rPr>
          <w:rFonts w:eastAsia="Times New Roman"/>
        </w:rPr>
        <w:t xml:space="preserve">.  </w:t>
      </w:r>
      <w:r w:rsidR="00102551">
        <w:rPr>
          <w:rFonts w:eastAsia="Times New Roman"/>
        </w:rPr>
        <w:t xml:space="preserve">There is evidence that </w:t>
      </w:r>
      <w:r w:rsidR="00CB3D21">
        <w:rPr>
          <w:rFonts w:eastAsia="Times New Roman"/>
        </w:rPr>
        <w:t xml:space="preserve">some </w:t>
      </w:r>
      <w:r w:rsidR="0078164A">
        <w:rPr>
          <w:rFonts w:eastAsia="Times New Roman"/>
        </w:rPr>
        <w:t xml:space="preserve">employers </w:t>
      </w:r>
      <w:r w:rsidR="00CB3D21">
        <w:rPr>
          <w:rFonts w:eastAsia="Times New Roman"/>
        </w:rPr>
        <w:t>are pre</w:t>
      </w:r>
      <w:r w:rsidR="0078164A">
        <w:rPr>
          <w:rFonts w:eastAsia="Times New Roman"/>
        </w:rPr>
        <w:t>screen</w:t>
      </w:r>
      <w:r w:rsidR="00CB3D21">
        <w:rPr>
          <w:rFonts w:eastAsia="Times New Roman"/>
        </w:rPr>
        <w:t>ing</w:t>
      </w:r>
      <w:r w:rsidR="0078164A">
        <w:rPr>
          <w:rFonts w:eastAsia="Times New Roman"/>
        </w:rPr>
        <w:t xml:space="preserve"> candidates prior to hiring</w:t>
      </w:r>
      <w:r w:rsidR="00CB3D21">
        <w:rPr>
          <w:rFonts w:eastAsia="Times New Roman"/>
        </w:rPr>
        <w:t>, and that individuals are voluntar</w:t>
      </w:r>
      <w:r>
        <w:rPr>
          <w:rFonts w:eastAsia="Times New Roman"/>
        </w:rPr>
        <w:t>il</w:t>
      </w:r>
      <w:r w:rsidR="00CB3D21">
        <w:rPr>
          <w:rFonts w:eastAsia="Times New Roman"/>
        </w:rPr>
        <w:t>y resigning before public disclosure</w:t>
      </w:r>
      <w:r w:rsidR="0078164A">
        <w:rPr>
          <w:rFonts w:eastAsia="Times New Roman"/>
        </w:rPr>
        <w:t xml:space="preserve">. </w:t>
      </w:r>
      <w:r w:rsidR="00102551">
        <w:rPr>
          <w:color w:val="000000"/>
        </w:rPr>
        <w:t xml:space="preserve">Given the growing interest of citizens in their own files and the files of public figures, there </w:t>
      </w:r>
      <w:r w:rsidR="009843CC">
        <w:rPr>
          <w:color w:val="000000"/>
        </w:rPr>
        <w:t>is</w:t>
      </w:r>
      <w:r w:rsidR="00102551">
        <w:rPr>
          <w:color w:val="000000"/>
        </w:rPr>
        <w:t xml:space="preserve"> a possibility of electorally induced bureaucratic change. </w:t>
      </w:r>
      <w:r w:rsidR="001507BF">
        <w:rPr>
          <w:color w:val="000000"/>
        </w:rPr>
        <w:t>Together t</w:t>
      </w:r>
      <w:r w:rsidR="001507BF">
        <w:rPr>
          <w:rFonts w:eastAsia="Times New Roman"/>
        </w:rPr>
        <w:t xml:space="preserve">hese mechanisms have the capacity to effect </w:t>
      </w:r>
      <w:r>
        <w:rPr>
          <w:rFonts w:eastAsia="Times New Roman"/>
        </w:rPr>
        <w:t xml:space="preserve">incremental </w:t>
      </w:r>
      <w:r w:rsidR="009843CC">
        <w:rPr>
          <w:rFonts w:eastAsia="Times New Roman"/>
        </w:rPr>
        <w:t>bureaucratic changes</w:t>
      </w:r>
      <w:r w:rsidR="001507BF">
        <w:rPr>
          <w:rFonts w:eastAsia="Times New Roman"/>
        </w:rPr>
        <w:t xml:space="preserve">. </w:t>
      </w:r>
      <w:r w:rsidR="009843CC">
        <w:rPr>
          <w:rFonts w:eastAsia="Times New Roman"/>
        </w:rPr>
        <w:t>This paper has developed three possible mechanisms for change, but f</w:t>
      </w:r>
      <w:r w:rsidR="00CB3D21">
        <w:rPr>
          <w:rFonts w:eastAsia="Times New Roman"/>
        </w:rPr>
        <w:t>uture research will need to explore to what extent public disclosures do in fact change voting patterns and the composition of public and semi-public positions.</w:t>
      </w:r>
      <w:r>
        <w:rPr>
          <w:color w:val="000000"/>
        </w:rPr>
        <w:t xml:space="preserve"> </w:t>
      </w:r>
    </w:p>
    <w:p w:rsidR="004A21DB" w:rsidRPr="005B7D41" w:rsidRDefault="00CB3D21" w:rsidP="005B7D41">
      <w:pPr>
        <w:pStyle w:val="ListParagraph"/>
        <w:spacing w:line="480" w:lineRule="auto"/>
        <w:ind w:left="0"/>
        <w:rPr>
          <w:rFonts w:eastAsia="Times New Roman"/>
          <w:i/>
        </w:rPr>
      </w:pPr>
      <w:r>
        <w:rPr>
          <w:rFonts w:eastAsia="Times New Roman"/>
        </w:rPr>
        <w:lastRenderedPageBreak/>
        <w:tab/>
        <w:t>As a cautionary conclusion, while it is remarkable that the Commission and the C.N.S.A.S. have “lifted the curtain” on the past in such a public and transparent way, the potential for extra-legal expansions of their mandates remains.  Since the lustration processes in both Bulgaria and Romania were mired by political manipulation</w:t>
      </w:r>
      <w:r w:rsidR="005B7D41">
        <w:rPr>
          <w:rFonts w:eastAsia="Times New Roman"/>
        </w:rPr>
        <w:t xml:space="preserve"> in the past</w:t>
      </w:r>
      <w:r>
        <w:rPr>
          <w:rFonts w:eastAsia="Times New Roman"/>
        </w:rPr>
        <w:t>, it is important that extra-legal substitutes for lustration remain bound by rule of law considerations and due process safeguards in order to prevent a sullying of the disclosure procedures in the future.</w:t>
      </w:r>
      <w:r w:rsidR="004A21DB">
        <w:rPr>
          <w:rFonts w:eastAsia="Times New Roman"/>
        </w:rPr>
        <w:br w:type="column"/>
      </w:r>
      <w:r w:rsidR="004A21DB" w:rsidRPr="004A21DB">
        <w:rPr>
          <w:b/>
        </w:rPr>
        <w:lastRenderedPageBreak/>
        <w:t>References</w:t>
      </w:r>
    </w:p>
    <w:p w:rsidR="004A21DB" w:rsidRDefault="004A21DB" w:rsidP="004A21DB">
      <w:pPr>
        <w:autoSpaceDE w:val="0"/>
        <w:autoSpaceDN w:val="0"/>
        <w:adjustRightInd w:val="0"/>
        <w:spacing w:after="0" w:line="240" w:lineRule="auto"/>
        <w:ind w:left="720" w:hanging="720"/>
        <w:rPr>
          <w:rFonts w:cs="Times New Roman"/>
          <w:sz w:val="24"/>
          <w:szCs w:val="24"/>
        </w:rPr>
      </w:pPr>
    </w:p>
    <w:p w:rsidR="002A643A" w:rsidRPr="002A643A" w:rsidRDefault="002A643A" w:rsidP="004A21DB">
      <w:pPr>
        <w:autoSpaceDE w:val="0"/>
        <w:autoSpaceDN w:val="0"/>
        <w:adjustRightInd w:val="0"/>
        <w:spacing w:after="0" w:line="240" w:lineRule="auto"/>
        <w:ind w:left="720" w:hanging="720"/>
        <w:rPr>
          <w:rFonts w:cs="Times New Roman"/>
          <w:sz w:val="24"/>
          <w:szCs w:val="24"/>
        </w:rPr>
      </w:pPr>
      <w:proofErr w:type="gramStart"/>
      <w:r>
        <w:rPr>
          <w:rFonts w:cs="Times New Roman"/>
          <w:sz w:val="24"/>
          <w:szCs w:val="24"/>
        </w:rPr>
        <w:t>BBC.</w:t>
      </w:r>
      <w:proofErr w:type="gramEnd"/>
      <w:r>
        <w:rPr>
          <w:rFonts w:cs="Times New Roman"/>
          <w:sz w:val="24"/>
          <w:szCs w:val="24"/>
        </w:rPr>
        <w:t xml:space="preserve"> 2006. </w:t>
      </w:r>
      <w:r w:rsidRPr="002A643A">
        <w:rPr>
          <w:rFonts w:cs="Times New Roman"/>
          <w:sz w:val="24"/>
          <w:szCs w:val="24"/>
        </w:rPr>
        <w:t>“</w:t>
      </w:r>
      <w:r w:rsidRPr="002A643A">
        <w:rPr>
          <w:rFonts w:cs="Times New Roman"/>
          <w:bCs/>
          <w:color w:val="000000"/>
          <w:sz w:val="24"/>
          <w:szCs w:val="24"/>
          <w:shd w:val="clear" w:color="auto" w:fill="FFFFFF"/>
        </w:rPr>
        <w:t xml:space="preserve">Dan </w:t>
      </w:r>
      <w:proofErr w:type="spellStart"/>
      <w:r w:rsidRPr="002A643A">
        <w:rPr>
          <w:rFonts w:cs="Times New Roman"/>
          <w:bCs/>
          <w:color w:val="000000"/>
          <w:sz w:val="24"/>
          <w:szCs w:val="24"/>
          <w:shd w:val="clear" w:color="auto" w:fill="FFFFFF"/>
        </w:rPr>
        <w:t>Voiculescu</w:t>
      </w:r>
      <w:proofErr w:type="spellEnd"/>
      <w:r w:rsidRPr="002A643A">
        <w:rPr>
          <w:rFonts w:cs="Times New Roman"/>
          <w:bCs/>
          <w:color w:val="000000"/>
          <w:sz w:val="24"/>
          <w:szCs w:val="24"/>
          <w:shd w:val="clear" w:color="auto" w:fill="FFFFFF"/>
        </w:rPr>
        <w:t xml:space="preserve"> and former Security,”</w:t>
      </w:r>
      <w:r>
        <w:rPr>
          <w:rFonts w:cs="Times New Roman"/>
          <w:bCs/>
          <w:color w:val="000000"/>
          <w:sz w:val="24"/>
          <w:szCs w:val="24"/>
          <w:shd w:val="clear" w:color="auto" w:fill="FFFFFF"/>
        </w:rPr>
        <w:t xml:space="preserve"> (June 16), </w:t>
      </w:r>
      <w:hyperlink r:id="rId10" w:history="1">
        <w:r w:rsidRPr="008C7DF1">
          <w:rPr>
            <w:rStyle w:val="Hyperlink"/>
            <w:rFonts w:cs="Times New Roman"/>
            <w:bCs/>
            <w:sz w:val="24"/>
            <w:szCs w:val="24"/>
            <w:shd w:val="clear" w:color="auto" w:fill="FFFFFF"/>
          </w:rPr>
          <w:t>http://www.bbc.co.uk/romanian/forum/story/2006/06/060616_voiculescu_securitate_cnsas.shtml</w:t>
        </w:r>
      </w:hyperlink>
      <w:r>
        <w:rPr>
          <w:rFonts w:cs="Times New Roman"/>
          <w:bCs/>
          <w:color w:val="000000"/>
          <w:sz w:val="24"/>
          <w:szCs w:val="24"/>
          <w:shd w:val="clear" w:color="auto" w:fill="FFFFFF"/>
        </w:rPr>
        <w:t>, accessed April 30, 2014.</w:t>
      </w:r>
    </w:p>
    <w:p w:rsidR="004A21DB" w:rsidRDefault="004A21DB" w:rsidP="004A21DB">
      <w:pPr>
        <w:autoSpaceDE w:val="0"/>
        <w:autoSpaceDN w:val="0"/>
        <w:adjustRightInd w:val="0"/>
        <w:spacing w:after="0" w:line="240" w:lineRule="auto"/>
        <w:ind w:left="720" w:hanging="720"/>
        <w:rPr>
          <w:rFonts w:cs="Times New Roman"/>
          <w:sz w:val="24"/>
          <w:szCs w:val="24"/>
        </w:rPr>
      </w:pPr>
      <w:proofErr w:type="spellStart"/>
      <w:proofErr w:type="gramStart"/>
      <w:r w:rsidRPr="009C1C82">
        <w:rPr>
          <w:rFonts w:cs="Times New Roman"/>
          <w:sz w:val="24"/>
          <w:szCs w:val="24"/>
        </w:rPr>
        <w:t>Boed</w:t>
      </w:r>
      <w:proofErr w:type="spellEnd"/>
      <w:r w:rsidRPr="009C1C82">
        <w:rPr>
          <w:rFonts w:cs="Times New Roman"/>
          <w:sz w:val="24"/>
          <w:szCs w:val="24"/>
        </w:rPr>
        <w:t>, Roman.</w:t>
      </w:r>
      <w:proofErr w:type="gramEnd"/>
      <w:r w:rsidRPr="009C1C82">
        <w:rPr>
          <w:rFonts w:cs="Times New Roman"/>
          <w:sz w:val="24"/>
          <w:szCs w:val="24"/>
        </w:rPr>
        <w:t xml:space="preserve"> 1999. “An Evaluation of the Legality and Efficacy of Lustration as a Tool of Transitional Justice.” </w:t>
      </w:r>
      <w:r w:rsidRPr="009C1C82">
        <w:rPr>
          <w:rFonts w:cs="Times New Roman"/>
          <w:i/>
          <w:color w:val="000000"/>
          <w:sz w:val="24"/>
          <w:szCs w:val="24"/>
        </w:rPr>
        <w:t>Columbia Journal of Transitional Law</w:t>
      </w:r>
      <w:r w:rsidRPr="009C1C82">
        <w:rPr>
          <w:rFonts w:cs="Times New Roman"/>
          <w:i/>
          <w:sz w:val="24"/>
          <w:szCs w:val="24"/>
        </w:rPr>
        <w:t xml:space="preserve"> </w:t>
      </w:r>
      <w:r w:rsidRPr="009C1C82">
        <w:rPr>
          <w:rFonts w:cs="Times New Roman"/>
          <w:sz w:val="24"/>
          <w:szCs w:val="24"/>
        </w:rPr>
        <w:t>37</w:t>
      </w:r>
      <w:r w:rsidRPr="009C1C82">
        <w:rPr>
          <w:rFonts w:cs="Times New Roman"/>
          <w:i/>
          <w:sz w:val="24"/>
          <w:szCs w:val="24"/>
        </w:rPr>
        <w:t xml:space="preserve">, </w:t>
      </w:r>
      <w:r w:rsidRPr="009C1C82">
        <w:rPr>
          <w:rFonts w:cs="Times New Roman"/>
          <w:sz w:val="24"/>
          <w:szCs w:val="24"/>
        </w:rPr>
        <w:t>2: 357-402.</w:t>
      </w:r>
    </w:p>
    <w:p w:rsidR="00982C06" w:rsidRPr="009C1C82" w:rsidRDefault="00982C06" w:rsidP="004A21DB">
      <w:pPr>
        <w:autoSpaceDE w:val="0"/>
        <w:autoSpaceDN w:val="0"/>
        <w:adjustRightInd w:val="0"/>
        <w:spacing w:after="0" w:line="240" w:lineRule="auto"/>
        <w:ind w:left="720" w:hanging="720"/>
        <w:rPr>
          <w:rFonts w:cs="Times New Roman"/>
          <w:sz w:val="24"/>
          <w:szCs w:val="24"/>
        </w:rPr>
      </w:pPr>
      <w:proofErr w:type="spellStart"/>
      <w:r>
        <w:rPr>
          <w:rFonts w:cs="Times New Roman"/>
          <w:sz w:val="24"/>
          <w:szCs w:val="24"/>
        </w:rPr>
        <w:t>Bogdan</w:t>
      </w:r>
      <w:proofErr w:type="spellEnd"/>
      <w:r>
        <w:rPr>
          <w:rFonts w:cs="Times New Roman"/>
          <w:sz w:val="24"/>
          <w:szCs w:val="24"/>
        </w:rPr>
        <w:t xml:space="preserve">, Gabi. 2011. “Final Verdict: Dan </w:t>
      </w:r>
      <w:proofErr w:type="spellStart"/>
      <w:r>
        <w:rPr>
          <w:rFonts w:cs="Times New Roman"/>
          <w:sz w:val="24"/>
          <w:szCs w:val="24"/>
        </w:rPr>
        <w:t>Voiculescu</w:t>
      </w:r>
      <w:proofErr w:type="spellEnd"/>
      <w:r>
        <w:rPr>
          <w:rFonts w:cs="Times New Roman"/>
          <w:sz w:val="24"/>
          <w:szCs w:val="24"/>
        </w:rPr>
        <w:t xml:space="preserve"> collaborated with the Securitate,” Nine </w:t>
      </w:r>
      <w:proofErr w:type="spellStart"/>
      <w:r>
        <w:rPr>
          <w:rFonts w:cs="Times New Roman"/>
          <w:sz w:val="24"/>
          <w:szCs w:val="24"/>
        </w:rPr>
        <w:t>O’Clock.rom</w:t>
      </w:r>
      <w:proofErr w:type="spellEnd"/>
      <w:r>
        <w:rPr>
          <w:rFonts w:cs="Times New Roman"/>
          <w:sz w:val="24"/>
          <w:szCs w:val="24"/>
        </w:rPr>
        <w:t>, (March 11</w:t>
      </w:r>
      <w:r w:rsidR="003C08B8">
        <w:rPr>
          <w:rFonts w:cs="Times New Roman"/>
          <w:sz w:val="24"/>
          <w:szCs w:val="24"/>
        </w:rPr>
        <w:t>).</w:t>
      </w:r>
    </w:p>
    <w:p w:rsidR="004A21DB" w:rsidRPr="009C1C82" w:rsidRDefault="004A21DB" w:rsidP="004A21DB">
      <w:pPr>
        <w:pStyle w:val="FootnoteText"/>
        <w:ind w:left="720" w:hanging="720"/>
        <w:rPr>
          <w:sz w:val="24"/>
          <w:szCs w:val="24"/>
        </w:rPr>
      </w:pPr>
      <w:proofErr w:type="gramStart"/>
      <w:r>
        <w:rPr>
          <w:sz w:val="24"/>
          <w:szCs w:val="24"/>
        </w:rPr>
        <w:t xml:space="preserve">Bulgarian </w:t>
      </w:r>
      <w:r w:rsidRPr="009C1C82">
        <w:rPr>
          <w:sz w:val="24"/>
          <w:szCs w:val="24"/>
        </w:rPr>
        <w:t>Dossier Commission.</w:t>
      </w:r>
      <w:proofErr w:type="gramEnd"/>
      <w:r w:rsidRPr="009C1C82">
        <w:rPr>
          <w:sz w:val="24"/>
          <w:szCs w:val="24"/>
        </w:rPr>
        <w:t xml:space="preserve"> </w:t>
      </w:r>
      <w:proofErr w:type="gramStart"/>
      <w:r w:rsidRPr="009C1C82">
        <w:rPr>
          <w:sz w:val="24"/>
          <w:szCs w:val="24"/>
        </w:rPr>
        <w:t>“Reports to the National Assembly.”</w:t>
      </w:r>
      <w:proofErr w:type="gramEnd"/>
      <w:r w:rsidRPr="009C1C82">
        <w:rPr>
          <w:sz w:val="24"/>
          <w:szCs w:val="24"/>
        </w:rPr>
        <w:t xml:space="preserve"> </w:t>
      </w:r>
      <w:r w:rsidRPr="009C1C82">
        <w:rPr>
          <w:i/>
          <w:sz w:val="24"/>
          <w:szCs w:val="24"/>
        </w:rPr>
        <w:t xml:space="preserve">The Dossier Commission, </w:t>
      </w:r>
      <w:hyperlink r:id="rId11" w:history="1">
        <w:r w:rsidRPr="009C1C82">
          <w:rPr>
            <w:rStyle w:val="Hyperlink"/>
            <w:sz w:val="24"/>
            <w:szCs w:val="24"/>
          </w:rPr>
          <w:t>http://www.comdos.bg/Доклади_пред_Народното_събрание</w:t>
        </w:r>
      </w:hyperlink>
      <w:r w:rsidRPr="009C1C82">
        <w:rPr>
          <w:sz w:val="24"/>
          <w:szCs w:val="24"/>
        </w:rPr>
        <w:t xml:space="preserve">, last accessed August 16, 2013.  </w:t>
      </w:r>
    </w:p>
    <w:p w:rsidR="004A21DB" w:rsidRPr="009C1C82" w:rsidRDefault="004A21DB" w:rsidP="004A21DB">
      <w:pPr>
        <w:pStyle w:val="Default"/>
        <w:ind w:left="720" w:hanging="720"/>
        <w:rPr>
          <w:rFonts w:ascii="Times New Roman" w:hAnsi="Times New Roman" w:cs="Times New Roman"/>
        </w:rPr>
      </w:pPr>
      <w:r w:rsidRPr="009C1C82">
        <w:rPr>
          <w:rStyle w:val="FootnoteReference"/>
          <w:rFonts w:ascii="Times New Roman" w:hAnsi="Times New Roman" w:cs="Times New Roman"/>
          <w:vertAlign w:val="baseline"/>
        </w:rPr>
        <w:t xml:space="preserve">---. </w:t>
      </w:r>
      <w:proofErr w:type="spellStart"/>
      <w:r w:rsidRPr="009C1C82">
        <w:rPr>
          <w:rFonts w:ascii="Times New Roman" w:hAnsi="Times New Roman" w:cs="Times New Roman"/>
          <w:bCs/>
        </w:rPr>
        <w:t>Republika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Bilgariya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Komiciya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Za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Razkrivane</w:t>
      </w:r>
      <w:proofErr w:type="spellEnd"/>
      <w:r w:rsidRPr="009C1C82">
        <w:rPr>
          <w:rFonts w:ascii="Times New Roman" w:hAnsi="Times New Roman" w:cs="Times New Roman"/>
          <w:bCs/>
        </w:rPr>
        <w:t xml:space="preserve">  Na </w:t>
      </w:r>
      <w:proofErr w:type="spellStart"/>
      <w:r w:rsidRPr="009C1C82">
        <w:rPr>
          <w:rFonts w:ascii="Times New Roman" w:hAnsi="Times New Roman" w:cs="Times New Roman"/>
          <w:bCs/>
        </w:rPr>
        <w:t>Dokumentite</w:t>
      </w:r>
      <w:proofErr w:type="spellEnd"/>
      <w:r w:rsidRPr="009C1C82">
        <w:rPr>
          <w:rFonts w:ascii="Times New Roman" w:hAnsi="Times New Roman" w:cs="Times New Roman"/>
          <w:bCs/>
        </w:rPr>
        <w:t xml:space="preserve"> I </w:t>
      </w:r>
      <w:proofErr w:type="spellStart"/>
      <w:r w:rsidRPr="009C1C82">
        <w:rPr>
          <w:rFonts w:ascii="Times New Roman" w:hAnsi="Times New Roman" w:cs="Times New Roman"/>
          <w:bCs/>
        </w:rPr>
        <w:t>Za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Obyavyavane</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Naprina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dlejenost</w:t>
      </w:r>
      <w:proofErr w:type="spellEnd"/>
      <w:r w:rsidRPr="009C1C82">
        <w:rPr>
          <w:rFonts w:ascii="Times New Roman" w:hAnsi="Times New Roman" w:cs="Times New Roman"/>
          <w:bCs/>
        </w:rPr>
        <w:t xml:space="preserve"> Na </w:t>
      </w:r>
      <w:proofErr w:type="spellStart"/>
      <w:r w:rsidRPr="009C1C82">
        <w:rPr>
          <w:rFonts w:ascii="Times New Roman" w:hAnsi="Times New Roman" w:cs="Times New Roman"/>
          <w:bCs/>
        </w:rPr>
        <w:t>Bilgarski</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Gradjedani</w:t>
      </w:r>
      <w:proofErr w:type="spellEnd"/>
      <w:r w:rsidRPr="009C1C82">
        <w:rPr>
          <w:rFonts w:ascii="Times New Roman" w:hAnsi="Times New Roman" w:cs="Times New Roman"/>
          <w:bCs/>
        </w:rPr>
        <w:t xml:space="preserve"> KBM  </w:t>
      </w:r>
      <w:proofErr w:type="spellStart"/>
      <w:r w:rsidRPr="009C1C82">
        <w:rPr>
          <w:rFonts w:ascii="Times New Roman" w:hAnsi="Times New Roman" w:cs="Times New Roman"/>
          <w:bCs/>
        </w:rPr>
        <w:t>Drjeavna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Sigurnost</w:t>
      </w:r>
      <w:proofErr w:type="spellEnd"/>
      <w:r w:rsidRPr="009C1C82">
        <w:rPr>
          <w:rFonts w:ascii="Times New Roman" w:hAnsi="Times New Roman" w:cs="Times New Roman"/>
          <w:bCs/>
        </w:rPr>
        <w:t xml:space="preserve"> I </w:t>
      </w:r>
      <w:proofErr w:type="spellStart"/>
      <w:r w:rsidRPr="009C1C82">
        <w:rPr>
          <w:rFonts w:ascii="Times New Roman" w:hAnsi="Times New Roman" w:cs="Times New Roman"/>
          <w:bCs/>
        </w:rPr>
        <w:t>Razuznavatelnite</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Sludjei</w:t>
      </w:r>
      <w:proofErr w:type="spellEnd"/>
      <w:r w:rsidRPr="009C1C82">
        <w:rPr>
          <w:rFonts w:ascii="Times New Roman" w:hAnsi="Times New Roman" w:cs="Times New Roman"/>
          <w:bCs/>
        </w:rPr>
        <w:t xml:space="preserve"> Na </w:t>
      </w:r>
      <w:proofErr w:type="spellStart"/>
      <w:r w:rsidRPr="009C1C82">
        <w:rPr>
          <w:rFonts w:ascii="Times New Roman" w:hAnsi="Times New Roman" w:cs="Times New Roman"/>
          <w:bCs/>
        </w:rPr>
        <w:t>Bilgarskata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Narodna</w:t>
      </w:r>
      <w:proofErr w:type="spellEnd"/>
      <w:r w:rsidRPr="009C1C82">
        <w:rPr>
          <w:rFonts w:ascii="Times New Roman" w:hAnsi="Times New Roman" w:cs="Times New Roman"/>
          <w:bCs/>
        </w:rPr>
        <w:t xml:space="preserve"> </w:t>
      </w:r>
      <w:proofErr w:type="spellStart"/>
      <w:r w:rsidRPr="009C1C82">
        <w:rPr>
          <w:rFonts w:ascii="Times New Roman" w:hAnsi="Times New Roman" w:cs="Times New Roman"/>
          <w:bCs/>
        </w:rPr>
        <w:t>Armiya</w:t>
      </w:r>
      <w:proofErr w:type="spellEnd"/>
      <w:r w:rsidRPr="009C1C82">
        <w:rPr>
          <w:rFonts w:ascii="Times New Roman" w:hAnsi="Times New Roman" w:cs="Times New Roman"/>
          <w:bCs/>
        </w:rPr>
        <w:t xml:space="preserve"> (</w:t>
      </w:r>
      <w:r w:rsidRPr="009C1C82">
        <w:rPr>
          <w:rFonts w:ascii="Times New Roman" w:hAnsi="Times New Roman" w:cs="Times New Roman"/>
        </w:rPr>
        <w:t xml:space="preserve">Commission of the Republic of Bulgaria for Access and Disclosure of the Documents and Announcing Affiliations of Bulgarian Citizens to the State Security and the Intelligence Services of the Bulgarian National Army), </w:t>
      </w:r>
      <w:r w:rsidRPr="009C1C82">
        <w:rPr>
          <w:rFonts w:ascii="Times New Roman" w:hAnsi="Times New Roman" w:cs="Times New Roman"/>
          <w:bCs/>
        </w:rPr>
        <w:t xml:space="preserve">  </w:t>
      </w:r>
      <w:hyperlink r:id="rId12" w:history="1">
        <w:r w:rsidRPr="009C1C82">
          <w:rPr>
            <w:rStyle w:val="Hyperlink"/>
            <w:rFonts w:ascii="Times New Roman" w:hAnsi="Times New Roman" w:cs="Times New Roman"/>
            <w:bCs/>
          </w:rPr>
          <w:t>http://www.comdos.bg/media/Dokladi/doklad--2-2012.pdf</w:t>
        </w:r>
      </w:hyperlink>
      <w:r w:rsidRPr="009C1C82">
        <w:rPr>
          <w:rFonts w:ascii="Times New Roman" w:hAnsi="Times New Roman" w:cs="Times New Roman"/>
          <w:bCs/>
        </w:rPr>
        <w:t>, accessed August 15, 2013.</w:t>
      </w:r>
    </w:p>
    <w:p w:rsidR="004A21DB" w:rsidRPr="009C1C82" w:rsidRDefault="004A21DB" w:rsidP="004A21DB">
      <w:pPr>
        <w:pStyle w:val="FootnoteText"/>
        <w:ind w:left="720" w:hanging="720"/>
        <w:rPr>
          <w:sz w:val="24"/>
          <w:szCs w:val="24"/>
        </w:rPr>
      </w:pPr>
      <w:r>
        <w:rPr>
          <w:sz w:val="24"/>
          <w:szCs w:val="24"/>
        </w:rPr>
        <w:t xml:space="preserve">---. </w:t>
      </w:r>
      <w:r w:rsidRPr="009C1C82">
        <w:rPr>
          <w:sz w:val="24"/>
          <w:szCs w:val="24"/>
        </w:rPr>
        <w:t>2011. “</w:t>
      </w:r>
      <w:proofErr w:type="spellStart"/>
      <w:r w:rsidRPr="009C1C82">
        <w:rPr>
          <w:sz w:val="24"/>
          <w:szCs w:val="24"/>
        </w:rPr>
        <w:t>Obobtsheni</w:t>
      </w:r>
      <w:proofErr w:type="spellEnd"/>
      <w:r w:rsidRPr="009C1C82">
        <w:rPr>
          <w:sz w:val="24"/>
          <w:szCs w:val="24"/>
        </w:rPr>
        <w:t xml:space="preserve"> Danni </w:t>
      </w:r>
      <w:proofErr w:type="spellStart"/>
      <w:r w:rsidRPr="009C1C82">
        <w:rPr>
          <w:sz w:val="24"/>
          <w:szCs w:val="24"/>
        </w:rPr>
        <w:t>za</w:t>
      </w:r>
      <w:proofErr w:type="spellEnd"/>
      <w:r w:rsidRPr="009C1C82">
        <w:rPr>
          <w:sz w:val="24"/>
          <w:szCs w:val="24"/>
        </w:rPr>
        <w:t xml:space="preserve"> </w:t>
      </w:r>
      <w:proofErr w:type="spellStart"/>
      <w:r w:rsidRPr="009C1C82">
        <w:rPr>
          <w:sz w:val="24"/>
          <w:szCs w:val="24"/>
        </w:rPr>
        <w:t>deinostta</w:t>
      </w:r>
      <w:proofErr w:type="spellEnd"/>
      <w:r w:rsidRPr="009C1C82">
        <w:rPr>
          <w:sz w:val="24"/>
          <w:szCs w:val="24"/>
        </w:rPr>
        <w:t xml:space="preserve"> </w:t>
      </w:r>
      <w:proofErr w:type="spellStart"/>
      <w:proofErr w:type="gramStart"/>
      <w:r w:rsidRPr="009C1C82">
        <w:rPr>
          <w:sz w:val="24"/>
          <w:szCs w:val="24"/>
        </w:rPr>
        <w:t>na</w:t>
      </w:r>
      <w:proofErr w:type="spellEnd"/>
      <w:proofErr w:type="gramEnd"/>
      <w:r w:rsidRPr="009C1C82">
        <w:rPr>
          <w:sz w:val="24"/>
          <w:szCs w:val="24"/>
        </w:rPr>
        <w:t xml:space="preserve"> KRD </w:t>
      </w:r>
      <w:proofErr w:type="spellStart"/>
      <w:r w:rsidRPr="009C1C82">
        <w:rPr>
          <w:sz w:val="24"/>
          <w:szCs w:val="24"/>
        </w:rPr>
        <w:t>Opgdsrsna</w:t>
      </w:r>
      <w:proofErr w:type="spellEnd"/>
      <w:r w:rsidRPr="009C1C82">
        <w:rPr>
          <w:sz w:val="24"/>
          <w:szCs w:val="24"/>
        </w:rPr>
        <w:t xml:space="preserve"> </w:t>
      </w:r>
      <w:proofErr w:type="spellStart"/>
      <w:r w:rsidRPr="009C1C82">
        <w:rPr>
          <w:sz w:val="24"/>
          <w:szCs w:val="24"/>
        </w:rPr>
        <w:t>ot</w:t>
      </w:r>
      <w:proofErr w:type="spellEnd"/>
      <w:r w:rsidRPr="009C1C82">
        <w:rPr>
          <w:sz w:val="24"/>
          <w:szCs w:val="24"/>
        </w:rPr>
        <w:t xml:space="preserve"> 5 </w:t>
      </w:r>
      <w:proofErr w:type="spellStart"/>
      <w:r w:rsidRPr="009C1C82">
        <w:rPr>
          <w:sz w:val="24"/>
          <w:szCs w:val="24"/>
        </w:rPr>
        <w:t>april</w:t>
      </w:r>
      <w:proofErr w:type="spellEnd"/>
      <w:r w:rsidRPr="009C1C82">
        <w:rPr>
          <w:sz w:val="24"/>
          <w:szCs w:val="24"/>
        </w:rPr>
        <w:t xml:space="preserve"> 2007 g. do 1 </w:t>
      </w:r>
      <w:proofErr w:type="spellStart"/>
      <w:r w:rsidRPr="009C1C82">
        <w:rPr>
          <w:sz w:val="24"/>
          <w:szCs w:val="24"/>
        </w:rPr>
        <w:t>dekembri</w:t>
      </w:r>
      <w:proofErr w:type="spellEnd"/>
      <w:r w:rsidRPr="009C1C82">
        <w:rPr>
          <w:sz w:val="24"/>
          <w:szCs w:val="24"/>
        </w:rPr>
        <w:t xml:space="preserve"> 2011 g. (Summary of Activities 5 April 2007-1 December 2011) </w:t>
      </w:r>
      <w:hyperlink r:id="rId13" w:history="1">
        <w:r w:rsidRPr="009C1C82">
          <w:rPr>
            <w:rStyle w:val="Hyperlink"/>
            <w:sz w:val="24"/>
            <w:szCs w:val="24"/>
          </w:rPr>
          <w:t>http://www.comdos.bg/Доклади_пред_Народното_събрание</w:t>
        </w:r>
      </w:hyperlink>
      <w:r w:rsidRPr="009C1C82">
        <w:rPr>
          <w:sz w:val="24"/>
          <w:szCs w:val="24"/>
        </w:rPr>
        <w:t>, accessed June 15, 2013.</w:t>
      </w:r>
    </w:p>
    <w:p w:rsidR="004A21DB" w:rsidRPr="009C1C82" w:rsidRDefault="004A21DB" w:rsidP="004A21DB">
      <w:pPr>
        <w:pStyle w:val="FootnoteText"/>
        <w:ind w:left="720" w:hanging="720"/>
        <w:rPr>
          <w:sz w:val="24"/>
          <w:szCs w:val="24"/>
        </w:rPr>
      </w:pPr>
      <w:proofErr w:type="spellStart"/>
      <w:proofErr w:type="gramStart"/>
      <w:r w:rsidRPr="009C1C82">
        <w:rPr>
          <w:color w:val="000000"/>
          <w:sz w:val="24"/>
          <w:szCs w:val="24"/>
        </w:rPr>
        <w:t>Cepl</w:t>
      </w:r>
      <w:proofErr w:type="spellEnd"/>
      <w:r w:rsidRPr="009C1C82">
        <w:rPr>
          <w:color w:val="000000"/>
          <w:sz w:val="24"/>
          <w:szCs w:val="24"/>
        </w:rPr>
        <w:t xml:space="preserve">, </w:t>
      </w:r>
      <w:proofErr w:type="spellStart"/>
      <w:r w:rsidRPr="009C1C82">
        <w:rPr>
          <w:sz w:val="24"/>
          <w:szCs w:val="24"/>
        </w:rPr>
        <w:t>Vojtěch</w:t>
      </w:r>
      <w:proofErr w:type="spellEnd"/>
      <w:r w:rsidRPr="009C1C82">
        <w:rPr>
          <w:color w:val="000000"/>
          <w:sz w:val="24"/>
          <w:szCs w:val="24"/>
        </w:rPr>
        <w:t xml:space="preserve"> and Mark Gillis.</w:t>
      </w:r>
      <w:proofErr w:type="gramEnd"/>
      <w:r w:rsidRPr="009C1C82">
        <w:rPr>
          <w:color w:val="000000"/>
          <w:sz w:val="24"/>
          <w:szCs w:val="24"/>
        </w:rPr>
        <w:t xml:space="preserve"> 1996. “</w:t>
      </w:r>
      <w:r w:rsidRPr="009C1C82">
        <w:rPr>
          <w:sz w:val="24"/>
          <w:szCs w:val="24"/>
        </w:rPr>
        <w:t xml:space="preserve">Making Amends </w:t>
      </w:r>
      <w:proofErr w:type="gramStart"/>
      <w:r w:rsidRPr="009C1C82">
        <w:rPr>
          <w:sz w:val="24"/>
          <w:szCs w:val="24"/>
        </w:rPr>
        <w:t>After</w:t>
      </w:r>
      <w:proofErr w:type="gramEnd"/>
      <w:r w:rsidRPr="009C1C82">
        <w:rPr>
          <w:sz w:val="24"/>
          <w:szCs w:val="24"/>
        </w:rPr>
        <w:t xml:space="preserve"> Communism.” </w:t>
      </w:r>
      <w:r>
        <w:rPr>
          <w:i/>
          <w:color w:val="000000"/>
          <w:sz w:val="24"/>
          <w:szCs w:val="24"/>
        </w:rPr>
        <w:t>Journal of Democracy</w:t>
      </w:r>
      <w:r w:rsidRPr="009C1C82">
        <w:rPr>
          <w:i/>
          <w:color w:val="000000"/>
          <w:sz w:val="24"/>
          <w:szCs w:val="24"/>
        </w:rPr>
        <w:t xml:space="preserve"> </w:t>
      </w:r>
      <w:r w:rsidRPr="009C1C82">
        <w:rPr>
          <w:color w:val="000000"/>
          <w:sz w:val="24"/>
          <w:szCs w:val="24"/>
        </w:rPr>
        <w:t>7, 14: 118-124</w:t>
      </w:r>
      <w:r w:rsidRPr="009C1C82">
        <w:rPr>
          <w:sz w:val="24"/>
          <w:szCs w:val="24"/>
        </w:rPr>
        <w:t>.</w:t>
      </w:r>
    </w:p>
    <w:p w:rsidR="004A21DB" w:rsidRPr="009C1C82" w:rsidRDefault="004A21DB" w:rsidP="004A21DB">
      <w:pPr>
        <w:pStyle w:val="ListParagraph"/>
        <w:ind w:hanging="720"/>
        <w:contextualSpacing/>
      </w:pPr>
      <w:proofErr w:type="gramStart"/>
      <w:r w:rsidRPr="009C1C82">
        <w:t>Center for the Study of Democracy.</w:t>
      </w:r>
      <w:proofErr w:type="gramEnd"/>
      <w:r w:rsidRPr="009C1C82">
        <w:t xml:space="preserve"> 2012. </w:t>
      </w:r>
      <w:r w:rsidRPr="009C1C82">
        <w:rPr>
          <w:bCs/>
          <w:i/>
        </w:rPr>
        <w:t>Corruption and Anti-Corruption in Bulgaria (2011-2012)</w:t>
      </w:r>
      <w:r w:rsidRPr="009C1C82">
        <w:rPr>
          <w:bCs/>
        </w:rPr>
        <w:t xml:space="preserve">. CSD Brief No 35. Sofia: Bulgaria. </w:t>
      </w:r>
    </w:p>
    <w:p w:rsidR="004A21DB" w:rsidRPr="009C1C82" w:rsidRDefault="004A21DB" w:rsidP="004A21DB">
      <w:pPr>
        <w:pStyle w:val="FootnoteText"/>
        <w:ind w:left="720" w:hanging="720"/>
        <w:rPr>
          <w:sz w:val="24"/>
          <w:szCs w:val="24"/>
        </w:rPr>
      </w:pPr>
      <w:proofErr w:type="spellStart"/>
      <w:r w:rsidRPr="009C1C82">
        <w:rPr>
          <w:bCs/>
          <w:sz w:val="24"/>
          <w:szCs w:val="24"/>
        </w:rPr>
        <w:t>Consiliul</w:t>
      </w:r>
      <w:proofErr w:type="spellEnd"/>
      <w:r w:rsidRPr="009C1C82">
        <w:rPr>
          <w:bCs/>
          <w:sz w:val="24"/>
          <w:szCs w:val="24"/>
        </w:rPr>
        <w:t xml:space="preserve"> </w:t>
      </w:r>
      <w:proofErr w:type="spellStart"/>
      <w:r w:rsidRPr="009C1C82">
        <w:rPr>
          <w:bCs/>
          <w:sz w:val="24"/>
          <w:szCs w:val="24"/>
        </w:rPr>
        <w:t>Naţional</w:t>
      </w:r>
      <w:proofErr w:type="spellEnd"/>
      <w:r w:rsidRPr="009C1C82">
        <w:rPr>
          <w:bCs/>
          <w:sz w:val="24"/>
          <w:szCs w:val="24"/>
        </w:rPr>
        <w:t xml:space="preserve"> </w:t>
      </w:r>
      <w:proofErr w:type="spellStart"/>
      <w:r w:rsidRPr="009C1C82">
        <w:rPr>
          <w:bCs/>
          <w:sz w:val="24"/>
          <w:szCs w:val="24"/>
        </w:rPr>
        <w:t>Pentru</w:t>
      </w:r>
      <w:proofErr w:type="spellEnd"/>
      <w:r w:rsidRPr="009C1C82">
        <w:rPr>
          <w:bCs/>
          <w:sz w:val="24"/>
          <w:szCs w:val="24"/>
        </w:rPr>
        <w:t xml:space="preserve"> </w:t>
      </w:r>
      <w:proofErr w:type="spellStart"/>
      <w:r>
        <w:rPr>
          <w:bCs/>
          <w:sz w:val="24"/>
          <w:szCs w:val="24"/>
        </w:rPr>
        <w:t>Studierea</w:t>
      </w:r>
      <w:proofErr w:type="spellEnd"/>
      <w:r>
        <w:rPr>
          <w:bCs/>
          <w:sz w:val="24"/>
          <w:szCs w:val="24"/>
        </w:rPr>
        <w:t xml:space="preserve"> </w:t>
      </w:r>
      <w:proofErr w:type="spellStart"/>
      <w:r>
        <w:rPr>
          <w:bCs/>
          <w:sz w:val="24"/>
          <w:szCs w:val="24"/>
        </w:rPr>
        <w:t>Arhivelor</w:t>
      </w:r>
      <w:proofErr w:type="spellEnd"/>
      <w:r>
        <w:rPr>
          <w:bCs/>
          <w:sz w:val="24"/>
          <w:szCs w:val="24"/>
        </w:rPr>
        <w:t xml:space="preserve"> </w:t>
      </w:r>
      <w:proofErr w:type="spellStart"/>
      <w:r>
        <w:rPr>
          <w:bCs/>
          <w:sz w:val="24"/>
          <w:szCs w:val="24"/>
        </w:rPr>
        <w:t>Securităţii</w:t>
      </w:r>
      <w:proofErr w:type="spellEnd"/>
      <w:r w:rsidR="000C5BF5">
        <w:rPr>
          <w:bCs/>
          <w:sz w:val="24"/>
          <w:szCs w:val="24"/>
        </w:rPr>
        <w:t xml:space="preserve"> (C.N.S.A.S.)</w:t>
      </w:r>
      <w:r>
        <w:rPr>
          <w:bCs/>
          <w:sz w:val="24"/>
          <w:szCs w:val="24"/>
        </w:rPr>
        <w:t xml:space="preserve">. </w:t>
      </w:r>
      <w:r w:rsidRPr="009C1C82">
        <w:rPr>
          <w:bCs/>
          <w:sz w:val="24"/>
          <w:szCs w:val="24"/>
        </w:rPr>
        <w:t xml:space="preserve"> </w:t>
      </w:r>
      <w:proofErr w:type="spellStart"/>
      <w:proofErr w:type="gramStart"/>
      <w:r w:rsidRPr="009C1C82">
        <w:rPr>
          <w:bCs/>
          <w:i/>
          <w:sz w:val="24"/>
          <w:szCs w:val="24"/>
        </w:rPr>
        <w:t>Raport</w:t>
      </w:r>
      <w:proofErr w:type="spellEnd"/>
      <w:r w:rsidRPr="009C1C82">
        <w:rPr>
          <w:bCs/>
          <w:i/>
          <w:sz w:val="24"/>
          <w:szCs w:val="24"/>
        </w:rPr>
        <w:t xml:space="preserve"> de </w:t>
      </w:r>
      <w:proofErr w:type="spellStart"/>
      <w:r w:rsidRPr="009C1C82">
        <w:rPr>
          <w:bCs/>
          <w:i/>
          <w:sz w:val="24"/>
          <w:szCs w:val="24"/>
        </w:rPr>
        <w:t>activitate</w:t>
      </w:r>
      <w:proofErr w:type="spellEnd"/>
      <w:r w:rsidRPr="009C1C82">
        <w:rPr>
          <w:bCs/>
          <w:i/>
          <w:sz w:val="24"/>
          <w:szCs w:val="24"/>
        </w:rPr>
        <w:t xml:space="preserve"> </w:t>
      </w:r>
      <w:proofErr w:type="spellStart"/>
      <w:r w:rsidRPr="009C1C82">
        <w:rPr>
          <w:bCs/>
          <w:i/>
          <w:sz w:val="24"/>
          <w:szCs w:val="24"/>
        </w:rPr>
        <w:t>privind</w:t>
      </w:r>
      <w:proofErr w:type="spellEnd"/>
      <w:r w:rsidRPr="009C1C82">
        <w:rPr>
          <w:bCs/>
          <w:i/>
          <w:sz w:val="24"/>
          <w:szCs w:val="24"/>
        </w:rPr>
        <w:t xml:space="preserve"> </w:t>
      </w:r>
      <w:proofErr w:type="spellStart"/>
      <w:r w:rsidRPr="009C1C82">
        <w:rPr>
          <w:bCs/>
          <w:i/>
          <w:sz w:val="24"/>
          <w:szCs w:val="24"/>
        </w:rPr>
        <w:t>anul</w:t>
      </w:r>
      <w:proofErr w:type="spellEnd"/>
      <w:r w:rsidRPr="009C1C82">
        <w:rPr>
          <w:bCs/>
          <w:i/>
          <w:sz w:val="24"/>
          <w:szCs w:val="24"/>
        </w:rPr>
        <w:t xml:space="preserve"> 2012 (2012 Annual Activity Report)</w:t>
      </w:r>
      <w:r w:rsidRPr="009C1C82">
        <w:rPr>
          <w:bCs/>
          <w:sz w:val="24"/>
          <w:szCs w:val="24"/>
        </w:rPr>
        <w:t xml:space="preserve">, </w:t>
      </w:r>
      <w:hyperlink r:id="rId14" w:history="1">
        <w:r w:rsidRPr="009C1C82">
          <w:rPr>
            <w:rStyle w:val="Hyperlink"/>
            <w:bCs/>
            <w:sz w:val="24"/>
            <w:szCs w:val="24"/>
          </w:rPr>
          <w:t>http://www.cnsas.ro/rapoarte.html</w:t>
        </w:r>
      </w:hyperlink>
      <w:r w:rsidRPr="009C1C82">
        <w:rPr>
          <w:bCs/>
          <w:sz w:val="24"/>
          <w:szCs w:val="24"/>
        </w:rPr>
        <w:t>, accessed August 10, 2013.</w:t>
      </w:r>
      <w:proofErr w:type="gramEnd"/>
    </w:p>
    <w:p w:rsidR="004A21DB" w:rsidRPr="009C1C82" w:rsidRDefault="004A21DB" w:rsidP="004A21DB">
      <w:pPr>
        <w:pStyle w:val="FootnoteText"/>
        <w:ind w:left="720" w:hanging="720"/>
        <w:rPr>
          <w:sz w:val="24"/>
          <w:szCs w:val="24"/>
        </w:rPr>
      </w:pPr>
      <w:r>
        <w:rPr>
          <w:bCs/>
          <w:sz w:val="24"/>
          <w:szCs w:val="24"/>
        </w:rPr>
        <w:t xml:space="preserve">---. </w:t>
      </w:r>
      <w:proofErr w:type="spellStart"/>
      <w:proofErr w:type="gramStart"/>
      <w:r w:rsidRPr="009C1C82">
        <w:rPr>
          <w:bCs/>
          <w:i/>
          <w:sz w:val="24"/>
          <w:szCs w:val="24"/>
        </w:rPr>
        <w:t>Raport</w:t>
      </w:r>
      <w:proofErr w:type="spellEnd"/>
      <w:r w:rsidRPr="009C1C82">
        <w:rPr>
          <w:bCs/>
          <w:i/>
          <w:sz w:val="24"/>
          <w:szCs w:val="24"/>
        </w:rPr>
        <w:t xml:space="preserve"> de </w:t>
      </w:r>
      <w:proofErr w:type="spellStart"/>
      <w:r w:rsidRPr="009C1C82">
        <w:rPr>
          <w:bCs/>
          <w:i/>
          <w:sz w:val="24"/>
          <w:szCs w:val="24"/>
        </w:rPr>
        <w:t>activitate</w:t>
      </w:r>
      <w:proofErr w:type="spellEnd"/>
      <w:r w:rsidRPr="009C1C82">
        <w:rPr>
          <w:bCs/>
          <w:i/>
          <w:sz w:val="24"/>
          <w:szCs w:val="24"/>
        </w:rPr>
        <w:t xml:space="preserve"> </w:t>
      </w:r>
      <w:proofErr w:type="spellStart"/>
      <w:r w:rsidRPr="009C1C82">
        <w:rPr>
          <w:bCs/>
          <w:i/>
          <w:sz w:val="24"/>
          <w:szCs w:val="24"/>
        </w:rPr>
        <w:t>privind</w:t>
      </w:r>
      <w:proofErr w:type="spellEnd"/>
      <w:r w:rsidRPr="009C1C82">
        <w:rPr>
          <w:bCs/>
          <w:i/>
          <w:sz w:val="24"/>
          <w:szCs w:val="24"/>
        </w:rPr>
        <w:t xml:space="preserve"> </w:t>
      </w:r>
      <w:proofErr w:type="spellStart"/>
      <w:r w:rsidRPr="009C1C82">
        <w:rPr>
          <w:bCs/>
          <w:i/>
          <w:sz w:val="24"/>
          <w:szCs w:val="24"/>
        </w:rPr>
        <w:t>anul</w:t>
      </w:r>
      <w:proofErr w:type="spellEnd"/>
      <w:r w:rsidRPr="009C1C82">
        <w:rPr>
          <w:bCs/>
          <w:i/>
          <w:sz w:val="24"/>
          <w:szCs w:val="24"/>
        </w:rPr>
        <w:t xml:space="preserve"> 2010 (2010 Annual Activity Report)</w:t>
      </w:r>
      <w:r w:rsidRPr="009C1C82">
        <w:rPr>
          <w:bCs/>
          <w:sz w:val="24"/>
          <w:szCs w:val="24"/>
        </w:rPr>
        <w:t xml:space="preserve">, </w:t>
      </w:r>
      <w:hyperlink r:id="rId15" w:history="1">
        <w:r w:rsidRPr="009C1C82">
          <w:rPr>
            <w:rStyle w:val="Hyperlink"/>
            <w:bCs/>
            <w:sz w:val="24"/>
            <w:szCs w:val="24"/>
          </w:rPr>
          <w:t>http://www.cnsas.ro/rapoarte.html</w:t>
        </w:r>
      </w:hyperlink>
      <w:r w:rsidRPr="009C1C82">
        <w:rPr>
          <w:bCs/>
          <w:sz w:val="24"/>
          <w:szCs w:val="24"/>
        </w:rPr>
        <w:t>, accessed August 10, 2013.</w:t>
      </w:r>
      <w:proofErr w:type="gramEnd"/>
    </w:p>
    <w:p w:rsidR="004A21DB" w:rsidRPr="009C1C82" w:rsidRDefault="004A21DB" w:rsidP="004A21DB">
      <w:pPr>
        <w:pStyle w:val="FootnoteText"/>
        <w:ind w:left="720" w:hanging="720"/>
        <w:rPr>
          <w:rFonts w:eastAsia="Times New Roman"/>
          <w:sz w:val="24"/>
          <w:szCs w:val="24"/>
        </w:rPr>
      </w:pPr>
      <w:r w:rsidRPr="009C1C82">
        <w:rPr>
          <w:rFonts w:eastAsia="Times New Roman"/>
          <w:sz w:val="24"/>
          <w:szCs w:val="24"/>
        </w:rPr>
        <w:t>Constitutional Court Decision no. 820/2010 “On the objection of unconstitutionality of provisions of the lustration law to limit temporary access to certain positions and titles for people who were part of the structures of power and the repressive apparatus of the communist regime from March 6, 1945-December 22, 1989.”</w:t>
      </w:r>
      <w:r w:rsidRPr="009C1C82">
        <w:rPr>
          <w:rFonts w:eastAsia="Times New Roman"/>
          <w:i/>
          <w:sz w:val="24"/>
          <w:szCs w:val="24"/>
        </w:rPr>
        <w:t xml:space="preserve"> </w:t>
      </w:r>
      <w:proofErr w:type="gramStart"/>
      <w:r w:rsidRPr="009C1C82">
        <w:rPr>
          <w:rFonts w:eastAsia="Times New Roman"/>
          <w:i/>
          <w:sz w:val="24"/>
          <w:szCs w:val="24"/>
        </w:rPr>
        <w:t>Romanian Official Gazette.</w:t>
      </w:r>
      <w:proofErr w:type="gramEnd"/>
      <w:r w:rsidRPr="009C1C82">
        <w:rPr>
          <w:rFonts w:eastAsia="Times New Roman"/>
          <w:i/>
          <w:sz w:val="24"/>
          <w:szCs w:val="24"/>
        </w:rPr>
        <w:t xml:space="preserve"> </w:t>
      </w:r>
      <w:proofErr w:type="gramStart"/>
      <w:r w:rsidRPr="009C1C82">
        <w:rPr>
          <w:rFonts w:eastAsia="Times New Roman"/>
          <w:sz w:val="24"/>
          <w:szCs w:val="24"/>
        </w:rPr>
        <w:t>No. 420/23/VI 2010.</w:t>
      </w:r>
      <w:proofErr w:type="gramEnd"/>
      <w:r w:rsidRPr="009C1C82">
        <w:rPr>
          <w:rFonts w:eastAsia="Times New Roman"/>
          <w:sz w:val="24"/>
          <w:szCs w:val="24"/>
        </w:rPr>
        <w:t xml:space="preserve"> </w:t>
      </w:r>
    </w:p>
    <w:p w:rsidR="004A21DB" w:rsidRPr="009C1C82" w:rsidRDefault="004A21DB" w:rsidP="004A21DB">
      <w:pPr>
        <w:pStyle w:val="FootnoteText"/>
        <w:ind w:left="720" w:hanging="720"/>
        <w:rPr>
          <w:i/>
          <w:sz w:val="24"/>
          <w:szCs w:val="24"/>
        </w:rPr>
      </w:pPr>
      <w:proofErr w:type="spellStart"/>
      <w:r w:rsidRPr="009C1C82">
        <w:rPr>
          <w:sz w:val="24"/>
          <w:szCs w:val="24"/>
        </w:rPr>
        <w:t>Corlatan</w:t>
      </w:r>
      <w:proofErr w:type="spellEnd"/>
      <w:r w:rsidRPr="009C1C82">
        <w:rPr>
          <w:sz w:val="24"/>
          <w:szCs w:val="24"/>
        </w:rPr>
        <w:t xml:space="preserve">, </w:t>
      </w:r>
      <w:proofErr w:type="spellStart"/>
      <w:r w:rsidRPr="009C1C82">
        <w:rPr>
          <w:sz w:val="24"/>
          <w:szCs w:val="24"/>
        </w:rPr>
        <w:t>Mirela</w:t>
      </w:r>
      <w:proofErr w:type="spellEnd"/>
      <w:r w:rsidRPr="009C1C82">
        <w:rPr>
          <w:sz w:val="24"/>
          <w:szCs w:val="24"/>
        </w:rPr>
        <w:t>. 2007.</w:t>
      </w:r>
      <w:r>
        <w:rPr>
          <w:sz w:val="24"/>
          <w:szCs w:val="24"/>
        </w:rPr>
        <w:t xml:space="preserve"> “A Lustration Law for Romania.</w:t>
      </w:r>
      <w:r w:rsidRPr="009C1C82">
        <w:rPr>
          <w:sz w:val="24"/>
          <w:szCs w:val="24"/>
        </w:rPr>
        <w:t xml:space="preserve">” </w:t>
      </w:r>
      <w:r>
        <w:rPr>
          <w:i/>
          <w:sz w:val="24"/>
          <w:szCs w:val="24"/>
        </w:rPr>
        <w:t xml:space="preserve">Euro-topics </w:t>
      </w:r>
      <w:r>
        <w:rPr>
          <w:sz w:val="24"/>
          <w:szCs w:val="24"/>
        </w:rPr>
        <w:t>(</w:t>
      </w:r>
      <w:r w:rsidRPr="009C1C82">
        <w:rPr>
          <w:sz w:val="24"/>
          <w:szCs w:val="24"/>
        </w:rPr>
        <w:t>May 25</w:t>
      </w:r>
      <w:r>
        <w:rPr>
          <w:sz w:val="24"/>
          <w:szCs w:val="24"/>
        </w:rPr>
        <w:t>)</w:t>
      </w:r>
      <w:r w:rsidRPr="009C1C82">
        <w:rPr>
          <w:sz w:val="24"/>
          <w:szCs w:val="24"/>
        </w:rPr>
        <w:t xml:space="preserve">. </w:t>
      </w:r>
    </w:p>
    <w:p w:rsidR="004A21DB" w:rsidRPr="009C1C82" w:rsidRDefault="004A21DB" w:rsidP="004A21DB">
      <w:pPr>
        <w:pStyle w:val="FootnoteText"/>
        <w:ind w:left="720" w:hanging="720"/>
        <w:rPr>
          <w:sz w:val="24"/>
          <w:szCs w:val="24"/>
        </w:rPr>
      </w:pPr>
      <w:r w:rsidRPr="009C1C82">
        <w:rPr>
          <w:sz w:val="24"/>
          <w:szCs w:val="24"/>
        </w:rPr>
        <w:t>David, Rom</w:t>
      </w:r>
      <w:r w:rsidR="00D1600D">
        <w:rPr>
          <w:sz w:val="24"/>
          <w:szCs w:val="24"/>
        </w:rPr>
        <w:t>an. 2013</w:t>
      </w:r>
      <w:r w:rsidRPr="009C1C82">
        <w:rPr>
          <w:sz w:val="24"/>
          <w:szCs w:val="24"/>
        </w:rPr>
        <w:t xml:space="preserve">. “The Czech Republic.” </w:t>
      </w:r>
      <w:proofErr w:type="gramStart"/>
      <w:r w:rsidRPr="009C1C82">
        <w:rPr>
          <w:sz w:val="24"/>
          <w:szCs w:val="24"/>
        </w:rPr>
        <w:t xml:space="preserve">In </w:t>
      </w:r>
      <w:r w:rsidRPr="009C1C82">
        <w:rPr>
          <w:i/>
          <w:sz w:val="24"/>
          <w:szCs w:val="24"/>
        </w:rPr>
        <w:t xml:space="preserve">Encyclopedia of Transitional Justice, Vol. 2, </w:t>
      </w:r>
      <w:r w:rsidRPr="009C1C82">
        <w:rPr>
          <w:sz w:val="24"/>
          <w:szCs w:val="24"/>
        </w:rPr>
        <w:t xml:space="preserve">eds. Stan and </w:t>
      </w:r>
      <w:proofErr w:type="spellStart"/>
      <w:r w:rsidRPr="009C1C82">
        <w:rPr>
          <w:sz w:val="24"/>
          <w:szCs w:val="24"/>
        </w:rPr>
        <w:t>Nedelsky</w:t>
      </w:r>
      <w:proofErr w:type="spellEnd"/>
      <w:r w:rsidRPr="009C1C82">
        <w:rPr>
          <w:sz w:val="24"/>
          <w:szCs w:val="24"/>
        </w:rPr>
        <w:t>.</w:t>
      </w:r>
      <w:proofErr w:type="gramEnd"/>
      <w:r w:rsidRPr="009C1C82">
        <w:rPr>
          <w:sz w:val="24"/>
          <w:szCs w:val="24"/>
        </w:rPr>
        <w:t xml:space="preserve"> Cambridge: Cambridge University Press</w:t>
      </w:r>
      <w:r w:rsidRPr="009C1C82">
        <w:rPr>
          <w:i/>
          <w:sz w:val="24"/>
          <w:szCs w:val="24"/>
        </w:rPr>
        <w:t xml:space="preserve">: </w:t>
      </w:r>
      <w:r w:rsidRPr="009C1C82">
        <w:rPr>
          <w:sz w:val="24"/>
          <w:szCs w:val="24"/>
        </w:rPr>
        <w:t>131-138.</w:t>
      </w:r>
    </w:p>
    <w:p w:rsidR="004A21DB" w:rsidRPr="009C1C82" w:rsidRDefault="004A21DB" w:rsidP="004A21DB">
      <w:pPr>
        <w:autoSpaceDE w:val="0"/>
        <w:autoSpaceDN w:val="0"/>
        <w:adjustRightInd w:val="0"/>
        <w:spacing w:after="0" w:line="240" w:lineRule="auto"/>
        <w:ind w:left="720" w:hanging="720"/>
        <w:rPr>
          <w:rFonts w:cs="Times New Roman"/>
          <w:sz w:val="24"/>
          <w:szCs w:val="24"/>
        </w:rPr>
      </w:pPr>
      <w:r w:rsidRPr="009C1C82">
        <w:rPr>
          <w:rFonts w:cs="Times New Roman"/>
          <w:sz w:val="24"/>
          <w:szCs w:val="24"/>
        </w:rPr>
        <w:t xml:space="preserve">David, Roman. 2011. </w:t>
      </w:r>
      <w:r w:rsidRPr="009C1C82">
        <w:rPr>
          <w:rFonts w:cs="Times New Roman"/>
          <w:i/>
          <w:sz w:val="24"/>
          <w:szCs w:val="24"/>
        </w:rPr>
        <w:t>Lustration and Transitional Justice: Personnel Systems in the Czech Republic, Hungary, and Poland</w:t>
      </w:r>
      <w:r w:rsidRPr="009C1C82">
        <w:rPr>
          <w:rFonts w:cs="Times New Roman"/>
          <w:sz w:val="24"/>
          <w:szCs w:val="24"/>
        </w:rPr>
        <w:t>. Philadelphia: University of Pennsylvania Press.</w:t>
      </w:r>
    </w:p>
    <w:p w:rsidR="004A21DB" w:rsidRPr="009C1C82" w:rsidRDefault="004A21DB" w:rsidP="004A21DB">
      <w:pPr>
        <w:autoSpaceDE w:val="0"/>
        <w:autoSpaceDN w:val="0"/>
        <w:adjustRightInd w:val="0"/>
        <w:spacing w:after="0" w:line="240" w:lineRule="auto"/>
        <w:ind w:left="720" w:hanging="720"/>
        <w:rPr>
          <w:rFonts w:cs="Times New Roman"/>
          <w:sz w:val="24"/>
          <w:szCs w:val="24"/>
        </w:rPr>
      </w:pPr>
      <w:proofErr w:type="gramStart"/>
      <w:r w:rsidRPr="009C1C82">
        <w:rPr>
          <w:rFonts w:cs="Times New Roman"/>
          <w:sz w:val="24"/>
          <w:szCs w:val="24"/>
        </w:rPr>
        <w:t>European Network of Official Authorities in Charge of the Secret-Police Files.</w:t>
      </w:r>
      <w:proofErr w:type="gramEnd"/>
      <w:r w:rsidRPr="009C1C82">
        <w:rPr>
          <w:rFonts w:cs="Times New Roman"/>
          <w:i/>
          <w:sz w:val="24"/>
          <w:szCs w:val="24"/>
        </w:rPr>
        <w:t xml:space="preserve"> </w:t>
      </w:r>
      <w:r w:rsidRPr="00D1600D">
        <w:rPr>
          <w:rFonts w:cs="Times New Roman"/>
          <w:sz w:val="24"/>
          <w:szCs w:val="24"/>
        </w:rPr>
        <w:t>2009</w:t>
      </w:r>
      <w:r w:rsidRPr="009C1C82">
        <w:rPr>
          <w:rFonts w:cs="Times New Roman"/>
          <w:i/>
          <w:sz w:val="24"/>
          <w:szCs w:val="24"/>
        </w:rPr>
        <w:t>. A Reader on their Legal Foundations, Structures and Activities</w:t>
      </w:r>
      <w:r>
        <w:rPr>
          <w:rFonts w:cs="Times New Roman"/>
          <w:i/>
          <w:sz w:val="24"/>
          <w:szCs w:val="24"/>
        </w:rPr>
        <w:t xml:space="preserve">. </w:t>
      </w:r>
      <w:r w:rsidRPr="009C1C82">
        <w:rPr>
          <w:rFonts w:cs="Times New Roman"/>
          <w:sz w:val="24"/>
          <w:szCs w:val="24"/>
        </w:rPr>
        <w:t xml:space="preserve">Berlin: Die </w:t>
      </w:r>
      <w:proofErr w:type="spellStart"/>
      <w:r w:rsidRPr="009C1C82">
        <w:rPr>
          <w:rFonts w:cs="Times New Roman"/>
          <w:sz w:val="24"/>
          <w:szCs w:val="24"/>
        </w:rPr>
        <w:t>Bundesbeauftragte</w:t>
      </w:r>
      <w:proofErr w:type="spellEnd"/>
      <w:r w:rsidRPr="009C1C82">
        <w:rPr>
          <w:rFonts w:cs="Times New Roman"/>
          <w:sz w:val="24"/>
          <w:szCs w:val="24"/>
        </w:rPr>
        <w:t xml:space="preserve"> </w:t>
      </w:r>
      <w:proofErr w:type="spellStart"/>
      <w:r w:rsidRPr="009C1C82">
        <w:rPr>
          <w:rFonts w:cs="Times New Roman"/>
          <w:sz w:val="24"/>
          <w:szCs w:val="24"/>
        </w:rPr>
        <w:t>für</w:t>
      </w:r>
      <w:proofErr w:type="spellEnd"/>
      <w:r w:rsidRPr="009C1C82">
        <w:rPr>
          <w:rFonts w:cs="Times New Roman"/>
          <w:sz w:val="24"/>
          <w:szCs w:val="24"/>
        </w:rPr>
        <w:t xml:space="preserve"> die </w:t>
      </w:r>
      <w:proofErr w:type="spellStart"/>
      <w:r w:rsidRPr="009C1C82">
        <w:rPr>
          <w:rFonts w:cs="Times New Roman"/>
          <w:sz w:val="24"/>
          <w:szCs w:val="24"/>
        </w:rPr>
        <w:t>Unterlagen</w:t>
      </w:r>
      <w:proofErr w:type="spellEnd"/>
      <w:r w:rsidRPr="009C1C82">
        <w:rPr>
          <w:rFonts w:cs="Times New Roman"/>
          <w:sz w:val="24"/>
          <w:szCs w:val="24"/>
        </w:rPr>
        <w:t xml:space="preserve"> des </w:t>
      </w:r>
      <w:proofErr w:type="spellStart"/>
      <w:r w:rsidRPr="009C1C82">
        <w:rPr>
          <w:rFonts w:cs="Times New Roman"/>
          <w:sz w:val="24"/>
          <w:szCs w:val="24"/>
        </w:rPr>
        <w:t>Staatssicherheitsdienstes</w:t>
      </w:r>
      <w:proofErr w:type="spellEnd"/>
      <w:r w:rsidRPr="009C1C82">
        <w:rPr>
          <w:rFonts w:cs="Times New Roman"/>
          <w:sz w:val="24"/>
          <w:szCs w:val="24"/>
        </w:rPr>
        <w:t xml:space="preserve"> </w:t>
      </w:r>
      <w:proofErr w:type="spellStart"/>
      <w:r w:rsidRPr="009C1C82">
        <w:rPr>
          <w:rFonts w:cs="Times New Roman"/>
          <w:sz w:val="24"/>
          <w:szCs w:val="24"/>
        </w:rPr>
        <w:t>der</w:t>
      </w:r>
      <w:proofErr w:type="spellEnd"/>
      <w:r w:rsidRPr="009C1C82">
        <w:rPr>
          <w:rFonts w:cs="Times New Roman"/>
          <w:sz w:val="24"/>
          <w:szCs w:val="24"/>
        </w:rPr>
        <w:t xml:space="preserve"> </w:t>
      </w:r>
      <w:proofErr w:type="spellStart"/>
      <w:r w:rsidRPr="009C1C82">
        <w:rPr>
          <w:rFonts w:cs="Times New Roman"/>
          <w:sz w:val="24"/>
          <w:szCs w:val="24"/>
        </w:rPr>
        <w:t>ehemaligen</w:t>
      </w:r>
      <w:proofErr w:type="spellEnd"/>
      <w:r w:rsidRPr="009C1C82">
        <w:rPr>
          <w:rFonts w:cs="Times New Roman"/>
          <w:sz w:val="24"/>
          <w:szCs w:val="24"/>
        </w:rPr>
        <w:t xml:space="preserve"> </w:t>
      </w:r>
      <w:proofErr w:type="spellStart"/>
      <w:r w:rsidRPr="009C1C82">
        <w:rPr>
          <w:rFonts w:cs="Times New Roman"/>
          <w:sz w:val="24"/>
          <w:szCs w:val="24"/>
        </w:rPr>
        <w:t>Deutschen</w:t>
      </w:r>
      <w:proofErr w:type="spellEnd"/>
      <w:r w:rsidRPr="009C1C82">
        <w:rPr>
          <w:rFonts w:cs="Times New Roman"/>
          <w:sz w:val="24"/>
          <w:szCs w:val="24"/>
        </w:rPr>
        <w:t xml:space="preserve"> </w:t>
      </w:r>
      <w:proofErr w:type="spellStart"/>
      <w:r w:rsidRPr="009C1C82">
        <w:rPr>
          <w:rFonts w:cs="Times New Roman"/>
          <w:sz w:val="24"/>
          <w:szCs w:val="24"/>
        </w:rPr>
        <w:t>Demokratischen</w:t>
      </w:r>
      <w:proofErr w:type="spellEnd"/>
      <w:r w:rsidRPr="009C1C82">
        <w:rPr>
          <w:rFonts w:cs="Times New Roman"/>
          <w:sz w:val="24"/>
          <w:szCs w:val="24"/>
        </w:rPr>
        <w:t xml:space="preserve"> </w:t>
      </w:r>
      <w:proofErr w:type="spellStart"/>
      <w:r w:rsidRPr="009C1C82">
        <w:rPr>
          <w:rFonts w:cs="Times New Roman"/>
          <w:sz w:val="24"/>
          <w:szCs w:val="24"/>
        </w:rPr>
        <w:t>Republik</w:t>
      </w:r>
      <w:proofErr w:type="spellEnd"/>
      <w:r w:rsidRPr="009C1C82">
        <w:rPr>
          <w:rFonts w:cs="Times New Roman"/>
          <w:sz w:val="24"/>
          <w:szCs w:val="24"/>
        </w:rPr>
        <w:t>.</w:t>
      </w:r>
    </w:p>
    <w:p w:rsidR="004A21DB" w:rsidRPr="009C1C82" w:rsidRDefault="004A21DB" w:rsidP="004A21DB">
      <w:pPr>
        <w:pStyle w:val="FootnoteText"/>
        <w:ind w:left="720" w:hanging="720"/>
        <w:rPr>
          <w:sz w:val="24"/>
          <w:szCs w:val="24"/>
        </w:rPr>
      </w:pPr>
      <w:proofErr w:type="spellStart"/>
      <w:r w:rsidRPr="009C1C82">
        <w:rPr>
          <w:sz w:val="24"/>
          <w:szCs w:val="24"/>
        </w:rPr>
        <w:lastRenderedPageBreak/>
        <w:t>Gibney</w:t>
      </w:r>
      <w:proofErr w:type="spellEnd"/>
      <w:r w:rsidRPr="009C1C82">
        <w:rPr>
          <w:sz w:val="24"/>
          <w:szCs w:val="24"/>
        </w:rPr>
        <w:t xml:space="preserve">, Mark. 1997. “Prosecuting Human Rights Violations </w:t>
      </w:r>
      <w:proofErr w:type="gramStart"/>
      <w:r w:rsidRPr="009C1C82">
        <w:rPr>
          <w:sz w:val="24"/>
          <w:szCs w:val="24"/>
        </w:rPr>
        <w:t>From</w:t>
      </w:r>
      <w:proofErr w:type="gramEnd"/>
      <w:r w:rsidRPr="009C1C82">
        <w:rPr>
          <w:sz w:val="24"/>
          <w:szCs w:val="24"/>
        </w:rPr>
        <w:t xml:space="preserve"> a Previous Regime: The East European Experience.” </w:t>
      </w:r>
      <w:r w:rsidRPr="009C1C82">
        <w:rPr>
          <w:i/>
          <w:sz w:val="24"/>
          <w:szCs w:val="24"/>
        </w:rPr>
        <w:t>East European Quarterly</w:t>
      </w:r>
      <w:r w:rsidRPr="009C1C82">
        <w:rPr>
          <w:sz w:val="24"/>
          <w:szCs w:val="24"/>
        </w:rPr>
        <w:t xml:space="preserve"> 31, 1: 93-110.</w:t>
      </w:r>
    </w:p>
    <w:p w:rsidR="00A86565" w:rsidRPr="00A86565" w:rsidRDefault="00A86565" w:rsidP="009F5626">
      <w:pPr>
        <w:spacing w:after="0" w:line="240" w:lineRule="auto"/>
        <w:ind w:left="720" w:hanging="720"/>
        <w:rPr>
          <w:rFonts w:cs="Times New Roman"/>
          <w:sz w:val="24"/>
          <w:szCs w:val="24"/>
        </w:rPr>
      </w:pPr>
      <w:proofErr w:type="gramStart"/>
      <w:r>
        <w:rPr>
          <w:rFonts w:cs="Times New Roman"/>
          <w:sz w:val="24"/>
          <w:szCs w:val="24"/>
        </w:rPr>
        <w:t>Helsinki Watch 1993.</w:t>
      </w:r>
      <w:proofErr w:type="gramEnd"/>
      <w:r>
        <w:rPr>
          <w:rFonts w:cs="Times New Roman"/>
          <w:sz w:val="24"/>
          <w:szCs w:val="24"/>
        </w:rPr>
        <w:t xml:space="preserve"> </w:t>
      </w:r>
      <w:proofErr w:type="gramStart"/>
      <w:r>
        <w:rPr>
          <w:rFonts w:cs="Times New Roman"/>
          <w:i/>
          <w:sz w:val="24"/>
          <w:szCs w:val="24"/>
        </w:rPr>
        <w:t>Decommunization in Bulgaria</w:t>
      </w:r>
      <w:r>
        <w:rPr>
          <w:rFonts w:cs="Times New Roman"/>
          <w:sz w:val="24"/>
          <w:szCs w:val="24"/>
        </w:rPr>
        <w:t>.</w:t>
      </w:r>
      <w:proofErr w:type="gramEnd"/>
      <w:r>
        <w:rPr>
          <w:rFonts w:cs="Times New Roman"/>
          <w:sz w:val="24"/>
          <w:szCs w:val="24"/>
        </w:rPr>
        <w:t xml:space="preserve"> Vol. 5, Issue 14, (August).</w:t>
      </w:r>
    </w:p>
    <w:p w:rsidR="009F5626" w:rsidRPr="009F5626" w:rsidRDefault="004A21DB" w:rsidP="009F5626">
      <w:pPr>
        <w:spacing w:after="0" w:line="240" w:lineRule="auto"/>
        <w:ind w:left="720" w:hanging="720"/>
        <w:rPr>
          <w:rFonts w:cs="Times New Roman"/>
          <w:sz w:val="24"/>
          <w:szCs w:val="24"/>
        </w:rPr>
      </w:pPr>
      <w:r w:rsidRPr="009C1C82">
        <w:rPr>
          <w:rFonts w:cs="Times New Roman"/>
          <w:sz w:val="24"/>
          <w:szCs w:val="24"/>
        </w:rPr>
        <w:t>Horne, Cynth</w:t>
      </w:r>
      <w:r w:rsidRPr="009F5626">
        <w:rPr>
          <w:rFonts w:cs="Times New Roman"/>
          <w:sz w:val="24"/>
          <w:szCs w:val="24"/>
        </w:rPr>
        <w:t xml:space="preserve">ia M. 2009. “Late Lustration Programs in Romania and Poland: Supporting or Undermining Democratic Transitions?” </w:t>
      </w:r>
      <w:r w:rsidRPr="009F5626">
        <w:rPr>
          <w:rFonts w:cs="Times New Roman"/>
          <w:i/>
          <w:sz w:val="24"/>
          <w:szCs w:val="24"/>
        </w:rPr>
        <w:t xml:space="preserve">Democratization </w:t>
      </w:r>
      <w:r w:rsidRPr="009F5626">
        <w:rPr>
          <w:rFonts w:cs="Times New Roman"/>
          <w:sz w:val="24"/>
          <w:szCs w:val="24"/>
        </w:rPr>
        <w:t xml:space="preserve">16, 2: 344-376. </w:t>
      </w:r>
    </w:p>
    <w:p w:rsidR="009F5626" w:rsidRPr="009F5626" w:rsidRDefault="009F5626" w:rsidP="009F5626">
      <w:pPr>
        <w:spacing w:after="0" w:line="240" w:lineRule="auto"/>
        <w:ind w:left="720" w:hanging="720"/>
        <w:rPr>
          <w:rFonts w:cs="Times New Roman"/>
          <w:sz w:val="24"/>
          <w:szCs w:val="24"/>
        </w:rPr>
      </w:pPr>
      <w:r w:rsidRPr="009F5626">
        <w:rPr>
          <w:rFonts w:cs="Times New Roman"/>
          <w:sz w:val="24"/>
          <w:szCs w:val="24"/>
        </w:rPr>
        <w:t xml:space="preserve">---. 2009b. </w:t>
      </w:r>
      <w:hyperlink r:id="rId16" w:history="1">
        <w:r w:rsidRPr="009F5626">
          <w:rPr>
            <w:rStyle w:val="Hyperlink"/>
            <w:rFonts w:cs="Times New Roman"/>
            <w:color w:val="auto"/>
            <w:sz w:val="24"/>
            <w:szCs w:val="24"/>
            <w:u w:val="none"/>
          </w:rPr>
          <w:t>“International Legal Rulings on</w:t>
        </w:r>
        <w:proofErr w:type="gramStart"/>
        <w:r w:rsidRPr="009F5626">
          <w:rPr>
            <w:rStyle w:val="Hyperlink"/>
            <w:rFonts w:cs="Times New Roman"/>
            <w:color w:val="auto"/>
            <w:sz w:val="24"/>
            <w:szCs w:val="24"/>
            <w:u w:val="none"/>
          </w:rPr>
          <w:t>  Lustration</w:t>
        </w:r>
        <w:proofErr w:type="gramEnd"/>
        <w:r w:rsidRPr="009F5626">
          <w:rPr>
            <w:rStyle w:val="Hyperlink"/>
            <w:rFonts w:cs="Times New Roman"/>
            <w:color w:val="auto"/>
            <w:sz w:val="24"/>
            <w:szCs w:val="24"/>
            <w:u w:val="none"/>
          </w:rPr>
          <w:t xml:space="preserve"> Policies in Central and Eastern Europe:  Rule  of Law in Historical Context.”</w:t>
        </w:r>
        <w:r w:rsidRPr="009F5626">
          <w:rPr>
            <w:rStyle w:val="apple-converted-space"/>
            <w:rFonts w:cs="Times New Roman"/>
            <w:sz w:val="24"/>
            <w:szCs w:val="24"/>
          </w:rPr>
          <w:t> </w:t>
        </w:r>
      </w:hyperlink>
      <w:r w:rsidRPr="009F5626">
        <w:rPr>
          <w:rFonts w:cs="Times New Roman"/>
          <w:sz w:val="24"/>
          <w:szCs w:val="24"/>
        </w:rPr>
        <w:t> </w:t>
      </w:r>
      <w:r w:rsidRPr="009F5626">
        <w:rPr>
          <w:rStyle w:val="Emphasis"/>
          <w:rFonts w:cs="Times New Roman"/>
          <w:sz w:val="24"/>
          <w:szCs w:val="24"/>
        </w:rPr>
        <w:t>Law &amp; Social Inquiry</w:t>
      </w:r>
      <w:r w:rsidRPr="009F5626">
        <w:rPr>
          <w:rFonts w:cs="Times New Roman"/>
          <w:sz w:val="24"/>
          <w:szCs w:val="24"/>
        </w:rPr>
        <w:t xml:space="preserve"> 34, 3: 713-744.</w:t>
      </w:r>
    </w:p>
    <w:p w:rsidR="009F5626" w:rsidRPr="009F5626" w:rsidRDefault="009F5626" w:rsidP="009F5626">
      <w:pPr>
        <w:spacing w:after="0" w:line="240" w:lineRule="auto"/>
        <w:ind w:left="720" w:hanging="720"/>
        <w:rPr>
          <w:rFonts w:cs="Times New Roman"/>
          <w:sz w:val="24"/>
          <w:szCs w:val="24"/>
        </w:rPr>
      </w:pPr>
      <w:proofErr w:type="gramStart"/>
      <w:r w:rsidRPr="009F5626">
        <w:rPr>
          <w:rFonts w:cs="Times New Roman"/>
          <w:sz w:val="24"/>
          <w:szCs w:val="24"/>
        </w:rPr>
        <w:t>Horne, Cynthia and Margaret Levi.</w:t>
      </w:r>
      <w:proofErr w:type="gramEnd"/>
      <w:r w:rsidRPr="009F5626">
        <w:rPr>
          <w:rFonts w:cs="Times New Roman"/>
          <w:sz w:val="24"/>
          <w:szCs w:val="24"/>
        </w:rPr>
        <w:t xml:space="preserve"> 2004. “</w:t>
      </w:r>
      <w:hyperlink r:id="rId17" w:history="1">
        <w:r w:rsidRPr="009F5626">
          <w:rPr>
            <w:rStyle w:val="Hyperlink"/>
            <w:rFonts w:cs="Times New Roman"/>
            <w:color w:val="auto"/>
            <w:sz w:val="24"/>
            <w:szCs w:val="24"/>
            <w:u w:val="none"/>
          </w:rPr>
          <w:t>Does Lustration Promote Trustworthy Governance? An Exploration of the</w:t>
        </w:r>
        <w:proofErr w:type="gramStart"/>
        <w:r w:rsidRPr="009F5626">
          <w:rPr>
            <w:rStyle w:val="Hyperlink"/>
            <w:rFonts w:cs="Times New Roman"/>
            <w:color w:val="auto"/>
            <w:sz w:val="24"/>
            <w:szCs w:val="24"/>
            <w:u w:val="none"/>
          </w:rPr>
          <w:t>  Experience</w:t>
        </w:r>
        <w:proofErr w:type="gramEnd"/>
        <w:r w:rsidRPr="009F5626">
          <w:rPr>
            <w:rStyle w:val="Hyperlink"/>
            <w:rFonts w:cs="Times New Roman"/>
            <w:color w:val="auto"/>
            <w:sz w:val="24"/>
            <w:szCs w:val="24"/>
            <w:u w:val="none"/>
          </w:rPr>
          <w:t xml:space="preserve"> of Central and Eastern Europe</w:t>
        </w:r>
      </w:hyperlink>
      <w:r w:rsidRPr="009F5626">
        <w:rPr>
          <w:rFonts w:cs="Times New Roman"/>
          <w:sz w:val="24"/>
          <w:szCs w:val="24"/>
        </w:rPr>
        <w:t xml:space="preserve">.” In Janos </w:t>
      </w:r>
      <w:proofErr w:type="spellStart"/>
      <w:r w:rsidRPr="009F5626">
        <w:rPr>
          <w:rFonts w:cs="Times New Roman"/>
          <w:sz w:val="24"/>
          <w:szCs w:val="24"/>
        </w:rPr>
        <w:t>Kornai</w:t>
      </w:r>
      <w:proofErr w:type="spellEnd"/>
      <w:r w:rsidRPr="009F5626">
        <w:rPr>
          <w:rFonts w:cs="Times New Roman"/>
          <w:sz w:val="24"/>
          <w:szCs w:val="24"/>
        </w:rPr>
        <w:t xml:space="preserve"> and Susan Rose- Ackerman (eds.)</w:t>
      </w:r>
      <w:r w:rsidRPr="009F5626">
        <w:rPr>
          <w:rStyle w:val="apple-converted-space"/>
          <w:rFonts w:cs="Times New Roman"/>
          <w:sz w:val="24"/>
          <w:szCs w:val="24"/>
        </w:rPr>
        <w:t> </w:t>
      </w:r>
      <w:r w:rsidRPr="009F5626">
        <w:rPr>
          <w:rStyle w:val="Emphasis"/>
          <w:rFonts w:cs="Times New Roman"/>
          <w:sz w:val="24"/>
          <w:szCs w:val="24"/>
        </w:rPr>
        <w:t>Honesty</w:t>
      </w:r>
      <w:proofErr w:type="gramStart"/>
      <w:r w:rsidRPr="009F5626">
        <w:rPr>
          <w:rStyle w:val="Emphasis"/>
          <w:rFonts w:cs="Times New Roman"/>
          <w:sz w:val="24"/>
          <w:szCs w:val="24"/>
        </w:rPr>
        <w:t>  and</w:t>
      </w:r>
      <w:proofErr w:type="gramEnd"/>
      <w:r w:rsidRPr="009F5626">
        <w:rPr>
          <w:rStyle w:val="Emphasis"/>
          <w:rFonts w:cs="Times New Roman"/>
          <w:sz w:val="24"/>
          <w:szCs w:val="24"/>
        </w:rPr>
        <w:t xml:space="preserve"> Trust in Transitional Societies</w:t>
      </w:r>
      <w:r w:rsidRPr="009F5626">
        <w:rPr>
          <w:rFonts w:cs="Times New Roman"/>
          <w:sz w:val="24"/>
          <w:szCs w:val="24"/>
        </w:rPr>
        <w:t>. New York: Palgrave/Macmillan Press. </w:t>
      </w:r>
    </w:p>
    <w:p w:rsidR="004A21DB" w:rsidRPr="009C1C82" w:rsidRDefault="004A21DB" w:rsidP="004A21DB">
      <w:pPr>
        <w:autoSpaceDE w:val="0"/>
        <w:autoSpaceDN w:val="0"/>
        <w:adjustRightInd w:val="0"/>
        <w:spacing w:after="0" w:line="240" w:lineRule="auto"/>
        <w:ind w:left="720" w:hanging="720"/>
        <w:rPr>
          <w:rFonts w:cs="Times New Roman"/>
          <w:sz w:val="24"/>
          <w:szCs w:val="24"/>
        </w:rPr>
      </w:pPr>
      <w:proofErr w:type="spellStart"/>
      <w:r w:rsidRPr="009C1C82">
        <w:rPr>
          <w:rFonts w:cs="Times New Roman"/>
          <w:sz w:val="24"/>
          <w:szCs w:val="24"/>
        </w:rPr>
        <w:t>Iancu</w:t>
      </w:r>
      <w:proofErr w:type="spellEnd"/>
      <w:r w:rsidRPr="009C1C82">
        <w:rPr>
          <w:rFonts w:cs="Times New Roman"/>
          <w:sz w:val="24"/>
          <w:szCs w:val="24"/>
        </w:rPr>
        <w:t xml:space="preserve">, </w:t>
      </w:r>
      <w:proofErr w:type="spellStart"/>
      <w:r w:rsidRPr="009C1C82">
        <w:rPr>
          <w:rFonts w:cs="Times New Roman"/>
          <w:sz w:val="24"/>
          <w:szCs w:val="24"/>
        </w:rPr>
        <w:t>Bogdan</w:t>
      </w:r>
      <w:proofErr w:type="spellEnd"/>
      <w:r w:rsidRPr="009C1C82">
        <w:rPr>
          <w:rFonts w:cs="Times New Roman"/>
          <w:sz w:val="24"/>
          <w:szCs w:val="24"/>
        </w:rPr>
        <w:t xml:space="preserve">. 2010. “Post-Accession Constitutionalism with a Human Face: Judicial Reform and Lustration in Romania.” </w:t>
      </w:r>
      <w:r w:rsidRPr="009C1C82">
        <w:rPr>
          <w:rFonts w:cs="Times New Roman"/>
          <w:i/>
          <w:sz w:val="24"/>
          <w:szCs w:val="24"/>
        </w:rPr>
        <w:t>European Constitutional Law Review</w:t>
      </w:r>
      <w:r w:rsidRPr="009C1C82">
        <w:rPr>
          <w:rFonts w:cs="Times New Roman"/>
          <w:sz w:val="24"/>
          <w:szCs w:val="24"/>
        </w:rPr>
        <w:t xml:space="preserve"> 6: 28-58.</w:t>
      </w:r>
    </w:p>
    <w:p w:rsidR="004A21DB" w:rsidRPr="009C1C82" w:rsidRDefault="004A21DB" w:rsidP="004A21DB">
      <w:pPr>
        <w:autoSpaceDE w:val="0"/>
        <w:autoSpaceDN w:val="0"/>
        <w:adjustRightInd w:val="0"/>
        <w:spacing w:after="0" w:line="240" w:lineRule="auto"/>
        <w:ind w:left="720" w:hanging="720"/>
        <w:rPr>
          <w:rFonts w:cs="Times New Roman"/>
          <w:sz w:val="24"/>
          <w:szCs w:val="24"/>
        </w:rPr>
      </w:pPr>
      <w:proofErr w:type="gramStart"/>
      <w:r w:rsidRPr="009C1C82">
        <w:rPr>
          <w:rFonts w:cs="Times New Roman"/>
          <w:sz w:val="24"/>
          <w:szCs w:val="24"/>
        </w:rPr>
        <w:t xml:space="preserve">Kaminski, </w:t>
      </w:r>
      <w:proofErr w:type="spellStart"/>
      <w:r w:rsidRPr="009C1C82">
        <w:rPr>
          <w:rFonts w:cs="Times New Roman"/>
          <w:sz w:val="24"/>
          <w:szCs w:val="24"/>
        </w:rPr>
        <w:t>Marek</w:t>
      </w:r>
      <w:proofErr w:type="spellEnd"/>
      <w:r w:rsidRPr="009C1C82">
        <w:rPr>
          <w:rFonts w:cs="Times New Roman"/>
          <w:sz w:val="24"/>
          <w:szCs w:val="24"/>
        </w:rPr>
        <w:t xml:space="preserve"> and Monika </w:t>
      </w:r>
      <w:proofErr w:type="spellStart"/>
      <w:r w:rsidRPr="009C1C82">
        <w:rPr>
          <w:rFonts w:cs="Times New Roman"/>
          <w:sz w:val="24"/>
          <w:szCs w:val="24"/>
        </w:rPr>
        <w:t>Nalepa</w:t>
      </w:r>
      <w:proofErr w:type="spellEnd"/>
      <w:r w:rsidRPr="009C1C82">
        <w:rPr>
          <w:rFonts w:cs="Times New Roman"/>
          <w:sz w:val="24"/>
          <w:szCs w:val="24"/>
        </w:rPr>
        <w:t>.</w:t>
      </w:r>
      <w:proofErr w:type="gramEnd"/>
      <w:r w:rsidRPr="009C1C82">
        <w:rPr>
          <w:rFonts w:cs="Times New Roman"/>
          <w:sz w:val="24"/>
          <w:szCs w:val="24"/>
        </w:rPr>
        <w:t xml:space="preserve"> 2006. “Judging Transitional Justice: A New Criterion for Evaluating Truth Revelation Procedures.” </w:t>
      </w:r>
      <w:r w:rsidRPr="009C1C82">
        <w:rPr>
          <w:rFonts w:cs="Times New Roman"/>
          <w:i/>
          <w:sz w:val="24"/>
          <w:szCs w:val="24"/>
        </w:rPr>
        <w:t xml:space="preserve">Journal of Conflict Resolution </w:t>
      </w:r>
      <w:r w:rsidRPr="009C1C82">
        <w:rPr>
          <w:rFonts w:cs="Times New Roman"/>
          <w:sz w:val="24"/>
          <w:szCs w:val="24"/>
        </w:rPr>
        <w:t>50, 3: 383-408.</w:t>
      </w:r>
    </w:p>
    <w:p w:rsidR="004A21DB" w:rsidRDefault="004A21DB" w:rsidP="004A21DB">
      <w:pPr>
        <w:spacing w:after="0" w:line="240" w:lineRule="auto"/>
        <w:ind w:left="720" w:hanging="720"/>
        <w:rPr>
          <w:rFonts w:cs="Times New Roman"/>
          <w:sz w:val="24"/>
          <w:szCs w:val="24"/>
        </w:rPr>
      </w:pPr>
      <w:proofErr w:type="spellStart"/>
      <w:r w:rsidRPr="009C1C82">
        <w:rPr>
          <w:rFonts w:cs="Times New Roman"/>
          <w:sz w:val="24"/>
          <w:szCs w:val="24"/>
        </w:rPr>
        <w:t>Kosc</w:t>
      </w:r>
      <w:proofErr w:type="spellEnd"/>
      <w:r w:rsidRPr="009C1C82">
        <w:rPr>
          <w:rFonts w:cs="Times New Roman"/>
          <w:sz w:val="24"/>
          <w:szCs w:val="24"/>
        </w:rPr>
        <w:t>,</w:t>
      </w:r>
      <w:r w:rsidRPr="009C1C82">
        <w:rPr>
          <w:rFonts w:eastAsia="MS Mincho" w:cs="Times New Roman"/>
          <w:color w:val="000000"/>
          <w:sz w:val="24"/>
          <w:szCs w:val="24"/>
          <w:lang w:eastAsia="ja-JP"/>
        </w:rPr>
        <w:t xml:space="preserve"> </w:t>
      </w:r>
      <w:proofErr w:type="spellStart"/>
      <w:r w:rsidRPr="009C1C82">
        <w:rPr>
          <w:rFonts w:eastAsia="MS Mincho" w:cs="Times New Roman"/>
          <w:color w:val="000000"/>
          <w:sz w:val="24"/>
          <w:szCs w:val="24"/>
          <w:lang w:eastAsia="ja-JP"/>
        </w:rPr>
        <w:t>Wojciech</w:t>
      </w:r>
      <w:proofErr w:type="spellEnd"/>
      <w:r w:rsidRPr="009C1C82">
        <w:rPr>
          <w:rFonts w:eastAsia="MS Mincho" w:cs="Times New Roman"/>
          <w:color w:val="000000"/>
          <w:sz w:val="24"/>
          <w:szCs w:val="24"/>
          <w:lang w:eastAsia="ja-JP"/>
        </w:rPr>
        <w:t xml:space="preserve">. 2005. </w:t>
      </w:r>
      <w:r w:rsidRPr="009C1C82">
        <w:rPr>
          <w:rFonts w:cs="Times New Roman"/>
          <w:sz w:val="24"/>
          <w:szCs w:val="24"/>
        </w:rPr>
        <w:t xml:space="preserve">“Poland: </w:t>
      </w:r>
      <w:proofErr w:type="spellStart"/>
      <w:r w:rsidRPr="009C1C82">
        <w:rPr>
          <w:rFonts w:cs="Times New Roman"/>
          <w:sz w:val="24"/>
          <w:szCs w:val="24"/>
        </w:rPr>
        <w:t>Wildstein’s</w:t>
      </w:r>
      <w:proofErr w:type="spellEnd"/>
      <w:r w:rsidRPr="009C1C82">
        <w:rPr>
          <w:rFonts w:cs="Times New Roman"/>
          <w:sz w:val="24"/>
          <w:szCs w:val="24"/>
        </w:rPr>
        <w:t xml:space="preserve"> List.” </w:t>
      </w:r>
      <w:proofErr w:type="gramStart"/>
      <w:r w:rsidRPr="009C1C82">
        <w:rPr>
          <w:rFonts w:cs="Times New Roman"/>
          <w:i/>
          <w:sz w:val="24"/>
          <w:szCs w:val="24"/>
        </w:rPr>
        <w:t>Transitions Online, Policy Briefs</w:t>
      </w:r>
      <w:r w:rsidRPr="009C1C82">
        <w:rPr>
          <w:rFonts w:cs="Times New Roman"/>
          <w:sz w:val="24"/>
          <w:szCs w:val="24"/>
        </w:rPr>
        <w:t xml:space="preserve">, 1-7 </w:t>
      </w:r>
      <w:r>
        <w:rPr>
          <w:rFonts w:cs="Times New Roman"/>
          <w:sz w:val="24"/>
          <w:szCs w:val="24"/>
        </w:rPr>
        <w:t>(</w:t>
      </w:r>
      <w:r w:rsidRPr="009C1C82">
        <w:rPr>
          <w:rFonts w:eastAsia="MS Mincho" w:cs="Times New Roman"/>
          <w:sz w:val="24"/>
          <w:szCs w:val="24"/>
          <w:lang w:eastAsia="ja-JP"/>
        </w:rPr>
        <w:t>February</w:t>
      </w:r>
      <w:r>
        <w:rPr>
          <w:rFonts w:eastAsia="MS Mincho" w:cs="Times New Roman"/>
          <w:sz w:val="24"/>
          <w:szCs w:val="24"/>
          <w:lang w:eastAsia="ja-JP"/>
        </w:rPr>
        <w:t>)</w:t>
      </w:r>
      <w:r w:rsidRPr="009C1C82">
        <w:rPr>
          <w:rFonts w:eastAsia="MS Mincho" w:cs="Times New Roman"/>
          <w:sz w:val="24"/>
          <w:szCs w:val="24"/>
          <w:lang w:eastAsia="ja-JP"/>
        </w:rPr>
        <w:t xml:space="preserve">, </w:t>
      </w:r>
      <w:hyperlink r:id="rId18" w:history="1">
        <w:r w:rsidRPr="009C1C82">
          <w:rPr>
            <w:rStyle w:val="Hyperlink"/>
            <w:rFonts w:eastAsia="MS Mincho" w:cs="Times New Roman"/>
            <w:sz w:val="24"/>
            <w:szCs w:val="24"/>
            <w:lang w:eastAsia="ja-JP"/>
          </w:rPr>
          <w:t>http://www.tol.org/client/article/13493-wildsteins-list.html?print</w:t>
        </w:r>
      </w:hyperlink>
      <w:r w:rsidRPr="009C1C82">
        <w:rPr>
          <w:rFonts w:eastAsia="MS Mincho" w:cs="Times New Roman"/>
          <w:sz w:val="24"/>
          <w:szCs w:val="24"/>
          <w:lang w:eastAsia="ja-JP"/>
        </w:rPr>
        <w:t>, accessed February 4, 2014</w:t>
      </w:r>
      <w:r w:rsidRPr="009C1C82">
        <w:rPr>
          <w:rFonts w:cs="Times New Roman"/>
          <w:sz w:val="24"/>
          <w:szCs w:val="24"/>
        </w:rPr>
        <w:t>.</w:t>
      </w:r>
      <w:proofErr w:type="gramEnd"/>
      <w:r w:rsidRPr="009C1C82">
        <w:rPr>
          <w:rFonts w:cs="Times New Roman"/>
          <w:sz w:val="24"/>
          <w:szCs w:val="24"/>
        </w:rPr>
        <w:t xml:space="preserve"> </w:t>
      </w:r>
    </w:p>
    <w:p w:rsidR="00CF5438" w:rsidRPr="009C1C82" w:rsidRDefault="00CF5438" w:rsidP="00CF5438">
      <w:pPr>
        <w:spacing w:after="0" w:line="240" w:lineRule="auto"/>
        <w:ind w:left="720" w:hanging="720"/>
        <w:rPr>
          <w:rFonts w:cs="Times New Roman"/>
          <w:sz w:val="24"/>
          <w:szCs w:val="24"/>
        </w:rPr>
      </w:pPr>
      <w:r>
        <w:rPr>
          <w:rFonts w:cs="Times New Roman"/>
          <w:sz w:val="24"/>
          <w:szCs w:val="24"/>
        </w:rPr>
        <w:t>Kritz, Neil, ed. 1995</w:t>
      </w:r>
      <w:r w:rsidR="00D22B2D">
        <w:rPr>
          <w:rFonts w:cs="Times New Roman"/>
          <w:sz w:val="24"/>
          <w:szCs w:val="24"/>
        </w:rPr>
        <w:t>a</w:t>
      </w:r>
      <w:r>
        <w:rPr>
          <w:rFonts w:cs="Times New Roman"/>
          <w:sz w:val="24"/>
          <w:szCs w:val="24"/>
        </w:rPr>
        <w:t>.  “</w:t>
      </w:r>
      <w:r w:rsidRPr="009C1C82">
        <w:rPr>
          <w:rFonts w:cs="Times New Roman"/>
          <w:sz w:val="24"/>
          <w:szCs w:val="24"/>
        </w:rPr>
        <w:t xml:space="preserve">Bulgarian Constitutional Court Decision on the </w:t>
      </w:r>
      <w:proofErr w:type="spellStart"/>
      <w:r w:rsidRPr="009C1C82">
        <w:rPr>
          <w:rFonts w:cs="Times New Roman"/>
          <w:sz w:val="24"/>
          <w:szCs w:val="24"/>
        </w:rPr>
        <w:t>Panev</w:t>
      </w:r>
      <w:proofErr w:type="spellEnd"/>
      <w:r w:rsidRPr="009C1C82">
        <w:rPr>
          <w:rFonts w:cs="Times New Roman"/>
          <w:sz w:val="24"/>
          <w:szCs w:val="24"/>
        </w:rPr>
        <w:t xml:space="preserve"> Law, Constitutional Case No. 32, Decision No. 1 (February 11, 1993).</w:t>
      </w:r>
      <w:r>
        <w:rPr>
          <w:rFonts w:cs="Times New Roman"/>
          <w:sz w:val="24"/>
          <w:szCs w:val="24"/>
        </w:rPr>
        <w:t>”</w:t>
      </w:r>
      <w:r w:rsidRPr="009C1C82">
        <w:rPr>
          <w:rFonts w:cs="Times New Roman"/>
          <w:sz w:val="24"/>
          <w:szCs w:val="24"/>
        </w:rPr>
        <w:t xml:space="preserve"> Translated in </w:t>
      </w:r>
      <w:r w:rsidRPr="009C1C82">
        <w:rPr>
          <w:rFonts w:cs="Times New Roman"/>
          <w:i/>
          <w:sz w:val="24"/>
          <w:szCs w:val="24"/>
        </w:rPr>
        <w:t>Transitional Justice</w:t>
      </w:r>
      <w:r w:rsidRPr="009C1C82">
        <w:rPr>
          <w:rFonts w:cs="Times New Roman"/>
          <w:sz w:val="24"/>
          <w:szCs w:val="24"/>
        </w:rPr>
        <w:t>, Vol. III, Washington, D.C.: United States Institute of Peace Press: 300-302.</w:t>
      </w:r>
    </w:p>
    <w:p w:rsidR="00CF5438" w:rsidRPr="009C1C82" w:rsidRDefault="00CF5438" w:rsidP="00CF5438">
      <w:pPr>
        <w:spacing w:after="0" w:line="240" w:lineRule="auto"/>
        <w:ind w:left="720" w:hanging="720"/>
        <w:rPr>
          <w:rFonts w:cs="Times New Roman"/>
          <w:sz w:val="24"/>
          <w:szCs w:val="24"/>
        </w:rPr>
      </w:pPr>
      <w:r>
        <w:rPr>
          <w:rFonts w:cs="Times New Roman"/>
          <w:sz w:val="24"/>
          <w:szCs w:val="24"/>
        </w:rPr>
        <w:t>---. 1995</w:t>
      </w:r>
      <w:r w:rsidR="00D22B2D">
        <w:rPr>
          <w:rFonts w:cs="Times New Roman"/>
          <w:sz w:val="24"/>
          <w:szCs w:val="24"/>
        </w:rPr>
        <w:t>b</w:t>
      </w:r>
      <w:r>
        <w:rPr>
          <w:rFonts w:cs="Times New Roman"/>
          <w:sz w:val="24"/>
          <w:szCs w:val="24"/>
        </w:rPr>
        <w:t>. “</w:t>
      </w:r>
      <w:r w:rsidRPr="009C1C82">
        <w:rPr>
          <w:rFonts w:cs="Times New Roman"/>
          <w:sz w:val="24"/>
          <w:szCs w:val="24"/>
        </w:rPr>
        <w:t>Law for Temporary Introduction of Some Additional Requirements for the Members of the Executive Bodies of Scientific Organizations and the Higher Certifying Commission (</w:t>
      </w:r>
      <w:proofErr w:type="spellStart"/>
      <w:r w:rsidRPr="009C1C82">
        <w:rPr>
          <w:rFonts w:cs="Times New Roman"/>
          <w:sz w:val="24"/>
          <w:szCs w:val="24"/>
        </w:rPr>
        <w:t>Panev</w:t>
      </w:r>
      <w:proofErr w:type="spellEnd"/>
      <w:r w:rsidRPr="009C1C82">
        <w:rPr>
          <w:rFonts w:cs="Times New Roman"/>
          <w:sz w:val="24"/>
          <w:szCs w:val="24"/>
        </w:rPr>
        <w:t xml:space="preserve"> Law), December 9, 1992.</w:t>
      </w:r>
      <w:r>
        <w:rPr>
          <w:rFonts w:cs="Times New Roman"/>
          <w:sz w:val="24"/>
          <w:szCs w:val="24"/>
        </w:rPr>
        <w:t>”</w:t>
      </w:r>
      <w:r w:rsidRPr="009C1C82">
        <w:rPr>
          <w:rFonts w:cs="Times New Roman"/>
          <w:sz w:val="24"/>
          <w:szCs w:val="24"/>
        </w:rPr>
        <w:t xml:space="preserve"> Translated in </w:t>
      </w:r>
      <w:r w:rsidRPr="009C1C82">
        <w:rPr>
          <w:rFonts w:cs="Times New Roman"/>
          <w:i/>
          <w:sz w:val="24"/>
          <w:szCs w:val="24"/>
        </w:rPr>
        <w:t>Transitional Justice</w:t>
      </w:r>
      <w:r w:rsidRPr="009C1C82">
        <w:rPr>
          <w:rFonts w:cs="Times New Roman"/>
          <w:sz w:val="24"/>
          <w:szCs w:val="24"/>
        </w:rPr>
        <w:t xml:space="preserve">, Vol. III, Washington, D.C.: United States Institute of Peace Press: 293-299.  </w:t>
      </w:r>
    </w:p>
    <w:p w:rsidR="00CF5438" w:rsidRPr="009C1C82" w:rsidRDefault="00CF5438" w:rsidP="00CF5438">
      <w:pPr>
        <w:spacing w:after="0" w:line="240" w:lineRule="auto"/>
        <w:ind w:left="720" w:hanging="720"/>
        <w:rPr>
          <w:rFonts w:cs="Times New Roman"/>
          <w:sz w:val="24"/>
          <w:szCs w:val="24"/>
        </w:rPr>
      </w:pPr>
      <w:r>
        <w:rPr>
          <w:rFonts w:cs="Times New Roman"/>
          <w:sz w:val="24"/>
          <w:szCs w:val="24"/>
        </w:rPr>
        <w:t>---. 1995</w:t>
      </w:r>
      <w:r w:rsidR="00D22B2D">
        <w:rPr>
          <w:rFonts w:cs="Times New Roman"/>
          <w:sz w:val="24"/>
          <w:szCs w:val="24"/>
        </w:rPr>
        <w:t>c</w:t>
      </w:r>
      <w:r>
        <w:rPr>
          <w:rFonts w:cs="Times New Roman"/>
          <w:sz w:val="24"/>
          <w:szCs w:val="24"/>
        </w:rPr>
        <w:t>. “</w:t>
      </w:r>
      <w:r w:rsidRPr="009C1C82">
        <w:rPr>
          <w:rFonts w:cs="Times New Roman"/>
          <w:sz w:val="24"/>
          <w:szCs w:val="24"/>
        </w:rPr>
        <w:t xml:space="preserve">Law on Banks and Credit Activity, No. 25 of March 18, 1992. 1995. Translated in </w:t>
      </w:r>
      <w:r w:rsidRPr="009C1C82">
        <w:rPr>
          <w:rFonts w:cs="Times New Roman"/>
          <w:i/>
          <w:sz w:val="24"/>
          <w:szCs w:val="24"/>
        </w:rPr>
        <w:t>Transitional Justice</w:t>
      </w:r>
      <w:r w:rsidRPr="009C1C82">
        <w:rPr>
          <w:rFonts w:cs="Times New Roman"/>
          <w:sz w:val="24"/>
          <w:szCs w:val="24"/>
        </w:rPr>
        <w:t xml:space="preserve">, Vol. III, Washington, D.C.: United States Institute of Peace Press: 293-299.  </w:t>
      </w:r>
    </w:p>
    <w:p w:rsidR="004A21DB" w:rsidRPr="009C1C82" w:rsidRDefault="004A21DB" w:rsidP="00CF5438">
      <w:pPr>
        <w:spacing w:after="0" w:line="240" w:lineRule="auto"/>
        <w:ind w:left="720" w:hanging="720"/>
        <w:rPr>
          <w:rFonts w:cs="Times New Roman"/>
          <w:sz w:val="24"/>
          <w:szCs w:val="24"/>
        </w:rPr>
      </w:pPr>
      <w:proofErr w:type="gramStart"/>
      <w:r w:rsidRPr="00F470AB">
        <w:rPr>
          <w:rFonts w:cs="Times New Roman"/>
          <w:sz w:val="24"/>
          <w:szCs w:val="24"/>
        </w:rPr>
        <w:t>Law for Access and Disclosure of the Documents and Announcing Affiliations of Bulgarian Citizens to the State Security and the Intelligence Services of the Bulgarian National Army</w:t>
      </w:r>
      <w:r>
        <w:rPr>
          <w:sz w:val="24"/>
          <w:szCs w:val="24"/>
        </w:rPr>
        <w:t>.</w:t>
      </w:r>
      <w:proofErr w:type="gramEnd"/>
      <w:r w:rsidRPr="009C1C82">
        <w:rPr>
          <w:rFonts w:cs="Times New Roman"/>
          <w:sz w:val="24"/>
          <w:szCs w:val="24"/>
        </w:rPr>
        <w:t xml:space="preserve"> Bulgarian law portal </w:t>
      </w:r>
      <w:hyperlink r:id="rId19" w:history="1">
        <w:r w:rsidRPr="009C1C82">
          <w:rPr>
            <w:rStyle w:val="Hyperlink"/>
            <w:rFonts w:cs="Times New Roman"/>
            <w:sz w:val="24"/>
            <w:szCs w:val="24"/>
          </w:rPr>
          <w:t>http://lex.bg/bg/laws/ldoc/2135540283</w:t>
        </w:r>
      </w:hyperlink>
      <w:r w:rsidRPr="009C1C82">
        <w:rPr>
          <w:rFonts w:cs="Times New Roman"/>
          <w:sz w:val="24"/>
          <w:szCs w:val="24"/>
        </w:rPr>
        <w:t xml:space="preserve">, accessed September 26, 2013. </w:t>
      </w:r>
    </w:p>
    <w:p w:rsidR="004A21DB" w:rsidRPr="009C1C82" w:rsidRDefault="004A21DB" w:rsidP="004A21DB">
      <w:pPr>
        <w:autoSpaceDE w:val="0"/>
        <w:autoSpaceDN w:val="0"/>
        <w:adjustRightInd w:val="0"/>
        <w:spacing w:after="0" w:line="240" w:lineRule="auto"/>
        <w:ind w:left="720" w:hanging="720"/>
        <w:rPr>
          <w:rFonts w:cs="Times New Roman"/>
          <w:sz w:val="24"/>
          <w:szCs w:val="24"/>
        </w:rPr>
      </w:pPr>
      <w:proofErr w:type="spellStart"/>
      <w:proofErr w:type="gramStart"/>
      <w:r w:rsidRPr="009C1C82">
        <w:rPr>
          <w:rFonts w:cs="Times New Roman"/>
          <w:sz w:val="24"/>
          <w:szCs w:val="24"/>
        </w:rPr>
        <w:t>Leśkiewicz</w:t>
      </w:r>
      <w:proofErr w:type="spellEnd"/>
      <w:r w:rsidRPr="009C1C82">
        <w:rPr>
          <w:rFonts w:cs="Times New Roman"/>
          <w:sz w:val="24"/>
          <w:szCs w:val="24"/>
        </w:rPr>
        <w:t xml:space="preserve">, </w:t>
      </w:r>
      <w:proofErr w:type="spellStart"/>
      <w:r w:rsidRPr="009C1C82">
        <w:rPr>
          <w:rFonts w:cs="Times New Roman"/>
          <w:sz w:val="24"/>
          <w:szCs w:val="24"/>
        </w:rPr>
        <w:t>Rafał</w:t>
      </w:r>
      <w:proofErr w:type="spellEnd"/>
      <w:r w:rsidRPr="009C1C82">
        <w:rPr>
          <w:rFonts w:cs="Times New Roman"/>
          <w:sz w:val="24"/>
          <w:szCs w:val="24"/>
        </w:rPr>
        <w:t xml:space="preserve"> and </w:t>
      </w:r>
      <w:proofErr w:type="spellStart"/>
      <w:r w:rsidRPr="009C1C82">
        <w:rPr>
          <w:rFonts w:cs="Times New Roman"/>
          <w:sz w:val="24"/>
          <w:szCs w:val="24"/>
        </w:rPr>
        <w:t>Pavel</w:t>
      </w:r>
      <w:proofErr w:type="spellEnd"/>
      <w:r w:rsidRPr="009C1C82">
        <w:rPr>
          <w:rFonts w:cs="Times New Roman"/>
          <w:sz w:val="24"/>
          <w:szCs w:val="24"/>
        </w:rPr>
        <w:t xml:space="preserve"> </w:t>
      </w:r>
      <w:proofErr w:type="spellStart"/>
      <w:r w:rsidRPr="009C1C82">
        <w:rPr>
          <w:rFonts w:cs="Times New Roman"/>
          <w:sz w:val="24"/>
          <w:szCs w:val="24"/>
        </w:rPr>
        <w:t>Žáček</w:t>
      </w:r>
      <w:proofErr w:type="spellEnd"/>
      <w:r w:rsidRPr="009C1C82">
        <w:rPr>
          <w:rFonts w:cs="Times New Roman"/>
          <w:sz w:val="24"/>
          <w:szCs w:val="24"/>
        </w:rPr>
        <w:t>, eds. 2013.</w:t>
      </w:r>
      <w:proofErr w:type="gramEnd"/>
      <w:r w:rsidRPr="009C1C82">
        <w:rPr>
          <w:rFonts w:cs="Times New Roman"/>
          <w:sz w:val="24"/>
          <w:szCs w:val="24"/>
        </w:rPr>
        <w:t xml:space="preserve"> </w:t>
      </w:r>
      <w:proofErr w:type="gramStart"/>
      <w:r w:rsidRPr="009C1C82">
        <w:rPr>
          <w:rFonts w:cs="Times New Roman"/>
          <w:i/>
          <w:sz w:val="24"/>
          <w:szCs w:val="24"/>
        </w:rPr>
        <w:t>Handbook of the European Network of Official Authorities in Charge of the Secret Police Files</w:t>
      </w:r>
      <w:r w:rsidRPr="009C1C82">
        <w:rPr>
          <w:rFonts w:cs="Times New Roman"/>
          <w:sz w:val="24"/>
          <w:szCs w:val="24"/>
        </w:rPr>
        <w:t>.</w:t>
      </w:r>
      <w:proofErr w:type="gramEnd"/>
      <w:r w:rsidRPr="009C1C82">
        <w:rPr>
          <w:rFonts w:cs="Times New Roman"/>
          <w:sz w:val="24"/>
          <w:szCs w:val="24"/>
        </w:rPr>
        <w:t xml:space="preserve"> Prague: The Institute for the Study of Totalitarian Regimes in cooperation with the Institute of National Remembrance.</w:t>
      </w:r>
    </w:p>
    <w:p w:rsidR="004A21DB" w:rsidRPr="009C1C82" w:rsidRDefault="004A21DB" w:rsidP="004A21DB">
      <w:pPr>
        <w:pStyle w:val="FootnoteText"/>
        <w:ind w:left="720" w:hanging="720"/>
        <w:rPr>
          <w:rFonts w:eastAsia="Times New Roman"/>
          <w:sz w:val="24"/>
          <w:szCs w:val="24"/>
        </w:rPr>
      </w:pPr>
      <w:proofErr w:type="spellStart"/>
      <w:r w:rsidRPr="009C1C82">
        <w:rPr>
          <w:sz w:val="24"/>
          <w:szCs w:val="24"/>
        </w:rPr>
        <w:t>Leviev</w:t>
      </w:r>
      <w:proofErr w:type="spellEnd"/>
      <w:r w:rsidRPr="009C1C82">
        <w:rPr>
          <w:sz w:val="24"/>
          <w:szCs w:val="24"/>
        </w:rPr>
        <w:t xml:space="preserve">-Sawyer, Clive. 2011. “The dossiers dossier,” </w:t>
      </w:r>
      <w:r>
        <w:rPr>
          <w:i/>
          <w:sz w:val="24"/>
          <w:szCs w:val="24"/>
        </w:rPr>
        <w:t>Sofia</w:t>
      </w:r>
      <w:r w:rsidRPr="009C1C82">
        <w:rPr>
          <w:i/>
          <w:sz w:val="24"/>
          <w:szCs w:val="24"/>
        </w:rPr>
        <w:t xml:space="preserve"> </w:t>
      </w:r>
      <w:r w:rsidR="00D1600D">
        <w:rPr>
          <w:i/>
          <w:sz w:val="24"/>
          <w:szCs w:val="24"/>
        </w:rPr>
        <w:t xml:space="preserve">Echo </w:t>
      </w:r>
      <w:r>
        <w:rPr>
          <w:sz w:val="24"/>
          <w:szCs w:val="24"/>
        </w:rPr>
        <w:t>(</w:t>
      </w:r>
      <w:r w:rsidRPr="009C1C82">
        <w:rPr>
          <w:sz w:val="24"/>
          <w:szCs w:val="24"/>
        </w:rPr>
        <w:t>February 17</w:t>
      </w:r>
      <w:r>
        <w:rPr>
          <w:sz w:val="24"/>
          <w:szCs w:val="24"/>
        </w:rPr>
        <w:t>)</w:t>
      </w:r>
      <w:r w:rsidRPr="009C1C82">
        <w:rPr>
          <w:sz w:val="24"/>
          <w:szCs w:val="24"/>
        </w:rPr>
        <w:t>.</w:t>
      </w:r>
    </w:p>
    <w:p w:rsidR="004A21DB" w:rsidRPr="009C1C82" w:rsidRDefault="004A21DB" w:rsidP="004A21DB">
      <w:pPr>
        <w:spacing w:after="0" w:line="240" w:lineRule="auto"/>
        <w:ind w:left="720" w:hanging="720"/>
        <w:rPr>
          <w:rFonts w:eastAsia="Times New Roman" w:cs="Times New Roman"/>
          <w:bCs/>
          <w:sz w:val="24"/>
          <w:szCs w:val="24"/>
        </w:rPr>
      </w:pPr>
      <w:proofErr w:type="spellStart"/>
      <w:r w:rsidRPr="009C1C82">
        <w:rPr>
          <w:rFonts w:cs="Times New Roman"/>
          <w:sz w:val="24"/>
          <w:szCs w:val="24"/>
        </w:rPr>
        <w:t>Leviev</w:t>
      </w:r>
      <w:proofErr w:type="spellEnd"/>
      <w:r w:rsidRPr="009C1C82">
        <w:rPr>
          <w:rFonts w:cs="Times New Roman"/>
          <w:sz w:val="24"/>
          <w:szCs w:val="24"/>
        </w:rPr>
        <w:t>-Sawyer, Clive. 2012</w:t>
      </w:r>
      <w:r w:rsidR="007E252A">
        <w:rPr>
          <w:rFonts w:cs="Times New Roman"/>
          <w:sz w:val="24"/>
          <w:szCs w:val="24"/>
        </w:rPr>
        <w:t>a</w:t>
      </w:r>
      <w:r w:rsidRPr="009C1C82">
        <w:rPr>
          <w:rFonts w:cs="Times New Roman"/>
          <w:sz w:val="24"/>
          <w:szCs w:val="24"/>
        </w:rPr>
        <w:t>.</w:t>
      </w:r>
      <w:r w:rsidRPr="009C1C82">
        <w:rPr>
          <w:rFonts w:eastAsia="Times New Roman" w:cs="Times New Roman"/>
          <w:bCs/>
          <w:sz w:val="24"/>
          <w:szCs w:val="24"/>
        </w:rPr>
        <w:t xml:space="preserve"> “Eleven out of 15 members </w:t>
      </w:r>
      <w:proofErr w:type="gramStart"/>
      <w:r w:rsidRPr="009C1C82">
        <w:rPr>
          <w:rFonts w:eastAsia="Times New Roman" w:cs="Times New Roman"/>
          <w:bCs/>
          <w:sz w:val="24"/>
          <w:szCs w:val="24"/>
        </w:rPr>
        <w:t>of  Bulgarian</w:t>
      </w:r>
      <w:proofErr w:type="gramEnd"/>
      <w:r w:rsidRPr="009C1C82">
        <w:rPr>
          <w:rFonts w:eastAsia="Times New Roman" w:cs="Times New Roman"/>
          <w:bCs/>
          <w:sz w:val="24"/>
          <w:szCs w:val="24"/>
        </w:rPr>
        <w:t xml:space="preserve"> Orthodox Church's Holy Synod worked for communist State Security.”</w:t>
      </w:r>
      <w:r w:rsidRPr="009C1C82">
        <w:rPr>
          <w:rFonts w:eastAsia="Times New Roman" w:cs="Times New Roman"/>
          <w:bCs/>
          <w:i/>
          <w:sz w:val="24"/>
          <w:szCs w:val="24"/>
        </w:rPr>
        <w:t xml:space="preserve"> </w:t>
      </w:r>
      <w:proofErr w:type="gramStart"/>
      <w:r w:rsidRPr="009C1C82">
        <w:rPr>
          <w:rFonts w:eastAsia="Times New Roman" w:cs="Times New Roman"/>
          <w:bCs/>
          <w:i/>
          <w:sz w:val="24"/>
          <w:szCs w:val="24"/>
        </w:rPr>
        <w:t>Sofia</w:t>
      </w:r>
      <w:r>
        <w:rPr>
          <w:rFonts w:eastAsia="Times New Roman" w:cs="Times New Roman"/>
          <w:bCs/>
          <w:i/>
          <w:sz w:val="24"/>
          <w:szCs w:val="24"/>
        </w:rPr>
        <w:t xml:space="preserve"> Echo</w:t>
      </w:r>
      <w:r w:rsidRPr="009C1C82">
        <w:rPr>
          <w:rFonts w:eastAsia="Times New Roman" w:cs="Times New Roman"/>
          <w:bCs/>
          <w:sz w:val="24"/>
          <w:szCs w:val="24"/>
        </w:rPr>
        <w:t xml:space="preserve"> </w:t>
      </w:r>
      <w:r>
        <w:rPr>
          <w:rFonts w:eastAsia="Times New Roman" w:cs="Times New Roman"/>
          <w:bCs/>
          <w:sz w:val="24"/>
          <w:szCs w:val="24"/>
        </w:rPr>
        <w:t>(</w:t>
      </w:r>
      <w:r w:rsidRPr="009C1C82">
        <w:rPr>
          <w:rFonts w:eastAsia="Times New Roman" w:cs="Times New Roman"/>
          <w:bCs/>
          <w:sz w:val="24"/>
          <w:szCs w:val="24"/>
        </w:rPr>
        <w:t>January 17</w:t>
      </w:r>
      <w:r>
        <w:rPr>
          <w:rFonts w:eastAsia="Times New Roman" w:cs="Times New Roman"/>
          <w:bCs/>
          <w:sz w:val="24"/>
          <w:szCs w:val="24"/>
        </w:rPr>
        <w:t>)</w:t>
      </w:r>
      <w:r w:rsidRPr="009C1C82">
        <w:rPr>
          <w:rFonts w:eastAsia="Times New Roman" w:cs="Times New Roman"/>
          <w:sz w:val="24"/>
          <w:szCs w:val="24"/>
        </w:rPr>
        <w:t>.</w:t>
      </w:r>
      <w:proofErr w:type="gramEnd"/>
    </w:p>
    <w:p w:rsidR="004A21DB" w:rsidRPr="009C1C82" w:rsidRDefault="004A21DB" w:rsidP="004A21DB">
      <w:pPr>
        <w:spacing w:after="0" w:line="240" w:lineRule="auto"/>
        <w:ind w:left="720" w:hanging="720"/>
        <w:rPr>
          <w:rFonts w:eastAsia="Times New Roman" w:cs="Times New Roman"/>
          <w:sz w:val="24"/>
          <w:szCs w:val="24"/>
        </w:rPr>
      </w:pPr>
      <w:r w:rsidRPr="009C1C82">
        <w:rPr>
          <w:rFonts w:eastAsia="Times New Roman" w:cs="Times New Roman"/>
          <w:sz w:val="24"/>
          <w:szCs w:val="24"/>
        </w:rPr>
        <w:t>---. 2012</w:t>
      </w:r>
      <w:r w:rsidR="007E252A">
        <w:rPr>
          <w:rFonts w:eastAsia="Times New Roman" w:cs="Times New Roman"/>
          <w:sz w:val="24"/>
          <w:szCs w:val="24"/>
        </w:rPr>
        <w:t>b</w:t>
      </w:r>
      <w:r w:rsidRPr="009C1C82">
        <w:rPr>
          <w:rFonts w:eastAsia="Times New Roman" w:cs="Times New Roman"/>
          <w:sz w:val="24"/>
          <w:szCs w:val="24"/>
        </w:rPr>
        <w:t>. “</w:t>
      </w:r>
      <w:r w:rsidRPr="009C1C82">
        <w:rPr>
          <w:rFonts w:eastAsia="Times New Roman" w:cs="Times New Roman"/>
          <w:bCs/>
          <w:sz w:val="24"/>
          <w:szCs w:val="24"/>
        </w:rPr>
        <w:t>Men in black: What did Bulgarian Orthodox Church clergy do while spying for t</w:t>
      </w:r>
      <w:r w:rsidR="00D1600D">
        <w:rPr>
          <w:rFonts w:eastAsia="Times New Roman" w:cs="Times New Roman"/>
          <w:bCs/>
          <w:sz w:val="24"/>
          <w:szCs w:val="24"/>
        </w:rPr>
        <w:t>he communist state?</w:t>
      </w:r>
      <w:r w:rsidRPr="009C1C82">
        <w:rPr>
          <w:rFonts w:eastAsia="Times New Roman" w:cs="Times New Roman"/>
          <w:bCs/>
          <w:sz w:val="24"/>
          <w:szCs w:val="24"/>
        </w:rPr>
        <w:t xml:space="preserve">” </w:t>
      </w:r>
      <w:proofErr w:type="gramStart"/>
      <w:r w:rsidRPr="009C1C82">
        <w:rPr>
          <w:rFonts w:eastAsia="Times New Roman" w:cs="Times New Roman"/>
          <w:bCs/>
          <w:i/>
          <w:sz w:val="24"/>
          <w:szCs w:val="24"/>
        </w:rPr>
        <w:t>Sofia</w:t>
      </w:r>
      <w:r>
        <w:rPr>
          <w:rFonts w:eastAsia="Times New Roman" w:cs="Times New Roman"/>
          <w:bCs/>
          <w:i/>
          <w:sz w:val="24"/>
          <w:szCs w:val="24"/>
        </w:rPr>
        <w:t xml:space="preserve"> Echo</w:t>
      </w:r>
      <w:r w:rsidRPr="009C1C82">
        <w:rPr>
          <w:rFonts w:eastAsia="Times New Roman" w:cs="Times New Roman"/>
          <w:bCs/>
          <w:sz w:val="24"/>
          <w:szCs w:val="24"/>
        </w:rPr>
        <w:t xml:space="preserve"> </w:t>
      </w:r>
      <w:r>
        <w:rPr>
          <w:rFonts w:eastAsia="Times New Roman" w:cs="Times New Roman"/>
          <w:bCs/>
          <w:sz w:val="24"/>
          <w:szCs w:val="24"/>
        </w:rPr>
        <w:t>(</w:t>
      </w:r>
      <w:r w:rsidRPr="009C1C82">
        <w:rPr>
          <w:rFonts w:eastAsia="Times New Roman" w:cs="Times New Roman"/>
          <w:bCs/>
          <w:sz w:val="24"/>
          <w:szCs w:val="24"/>
        </w:rPr>
        <w:t>January 18</w:t>
      </w:r>
      <w:r>
        <w:rPr>
          <w:rFonts w:eastAsia="Times New Roman" w:cs="Times New Roman"/>
          <w:bCs/>
          <w:sz w:val="24"/>
          <w:szCs w:val="24"/>
        </w:rPr>
        <w:t>)</w:t>
      </w:r>
      <w:r w:rsidRPr="009C1C82">
        <w:rPr>
          <w:rFonts w:cs="Times New Roman"/>
          <w:sz w:val="24"/>
          <w:szCs w:val="24"/>
        </w:rPr>
        <w:t>.</w:t>
      </w:r>
      <w:proofErr w:type="gramEnd"/>
    </w:p>
    <w:p w:rsidR="004A21DB" w:rsidRDefault="00D1600D" w:rsidP="004A21DB">
      <w:pPr>
        <w:pStyle w:val="ListParagraph"/>
        <w:ind w:hanging="720"/>
      </w:pPr>
      <w:proofErr w:type="spellStart"/>
      <w:r>
        <w:t>Maxfield</w:t>
      </w:r>
      <w:proofErr w:type="spellEnd"/>
      <w:r>
        <w:t>, Ed. 2013</w:t>
      </w:r>
      <w:r w:rsidR="004A21DB" w:rsidRPr="009C1C82">
        <w:t xml:space="preserve">. “Romania.” </w:t>
      </w:r>
      <w:proofErr w:type="gramStart"/>
      <w:r w:rsidR="004A21DB" w:rsidRPr="009C1C82">
        <w:t xml:space="preserve">In </w:t>
      </w:r>
      <w:r w:rsidR="004A21DB" w:rsidRPr="009C1C82">
        <w:rPr>
          <w:i/>
        </w:rPr>
        <w:t xml:space="preserve">Encyclopedia of Transitional Justice, Vol. 2, </w:t>
      </w:r>
      <w:r w:rsidR="004A21DB" w:rsidRPr="009C1C82">
        <w:t xml:space="preserve">eds. Stan and </w:t>
      </w:r>
      <w:proofErr w:type="spellStart"/>
      <w:r w:rsidR="004A21DB" w:rsidRPr="009C1C82">
        <w:t>Nedelsky</w:t>
      </w:r>
      <w:proofErr w:type="spellEnd"/>
      <w:r w:rsidR="004A21DB" w:rsidRPr="009C1C82">
        <w:t>.</w:t>
      </w:r>
      <w:proofErr w:type="gramEnd"/>
      <w:r w:rsidR="004A21DB" w:rsidRPr="009C1C82">
        <w:t xml:space="preserve"> Cambridge: Cambridge University Press: 7-14.</w:t>
      </w:r>
    </w:p>
    <w:p w:rsidR="004A21DB" w:rsidRPr="009C1C82" w:rsidRDefault="00D1600D" w:rsidP="004A21DB">
      <w:pPr>
        <w:pStyle w:val="ListParagraph"/>
        <w:ind w:hanging="720"/>
      </w:pPr>
      <w:proofErr w:type="spellStart"/>
      <w:r>
        <w:t>Metodiev</w:t>
      </w:r>
      <w:proofErr w:type="spellEnd"/>
      <w:r>
        <w:t xml:space="preserve">, </w:t>
      </w:r>
      <w:proofErr w:type="spellStart"/>
      <w:r>
        <w:t>Momchil</w:t>
      </w:r>
      <w:proofErr w:type="spellEnd"/>
      <w:r>
        <w:t>. 2013</w:t>
      </w:r>
      <w:r w:rsidR="004A21DB" w:rsidRPr="009C1C82">
        <w:t xml:space="preserve">.  “Bulgaria.” </w:t>
      </w:r>
      <w:proofErr w:type="gramStart"/>
      <w:r w:rsidR="004A21DB" w:rsidRPr="009C1C82">
        <w:t xml:space="preserve">In </w:t>
      </w:r>
      <w:r w:rsidR="004A21DB" w:rsidRPr="009C1C82">
        <w:rPr>
          <w:i/>
        </w:rPr>
        <w:t xml:space="preserve">Encyclopedia of Transitional Justice, Vol. 2, </w:t>
      </w:r>
      <w:r w:rsidR="004A21DB" w:rsidRPr="009C1C82">
        <w:t xml:space="preserve">eds. Stan and </w:t>
      </w:r>
      <w:proofErr w:type="spellStart"/>
      <w:r w:rsidR="004A21DB" w:rsidRPr="009C1C82">
        <w:t>Nedelsky</w:t>
      </w:r>
      <w:proofErr w:type="spellEnd"/>
      <w:r w:rsidR="004A21DB" w:rsidRPr="009C1C82">
        <w:t>.</w:t>
      </w:r>
      <w:proofErr w:type="gramEnd"/>
      <w:r w:rsidR="004A21DB" w:rsidRPr="009C1C82">
        <w:t xml:space="preserve"> Cambridge: Cambridge University Press: 73-79.</w:t>
      </w:r>
    </w:p>
    <w:p w:rsidR="00B81F2F" w:rsidRPr="00B81F2F" w:rsidRDefault="004A21DB" w:rsidP="00B81F2F">
      <w:pPr>
        <w:pStyle w:val="ListParagraph"/>
        <w:ind w:hanging="720"/>
      </w:pPr>
      <w:proofErr w:type="spellStart"/>
      <w:proofErr w:type="gramStart"/>
      <w:r w:rsidRPr="009C1C82">
        <w:lastRenderedPageBreak/>
        <w:t>Michnik</w:t>
      </w:r>
      <w:proofErr w:type="spellEnd"/>
      <w:r w:rsidRPr="009C1C82">
        <w:t xml:space="preserve">, Adam and </w:t>
      </w:r>
      <w:proofErr w:type="spellStart"/>
      <w:r w:rsidRPr="009C1C82">
        <w:t>Václav</w:t>
      </w:r>
      <w:proofErr w:type="spellEnd"/>
      <w:r w:rsidRPr="009C1C82">
        <w:t xml:space="preserve"> Havel.</w:t>
      </w:r>
      <w:proofErr w:type="gramEnd"/>
      <w:r w:rsidRPr="009C1C82">
        <w:t xml:space="preserve"> 1993. “Justice or Revenge.” </w:t>
      </w:r>
      <w:r w:rsidRPr="009C1C82">
        <w:rPr>
          <w:i/>
        </w:rPr>
        <w:t xml:space="preserve">Journal of Democracy </w:t>
      </w:r>
      <w:r w:rsidRPr="009C1C82">
        <w:t>4, 1: 20-</w:t>
      </w:r>
      <w:r w:rsidRPr="00B81F2F">
        <w:t>27.</w:t>
      </w:r>
    </w:p>
    <w:p w:rsidR="00B81F2F" w:rsidRPr="00B81F2F" w:rsidRDefault="00B81F2F" w:rsidP="00B81F2F">
      <w:pPr>
        <w:pStyle w:val="ListParagraph"/>
        <w:ind w:hanging="720"/>
      </w:pPr>
      <w:proofErr w:type="spellStart"/>
      <w:r w:rsidRPr="00B81F2F">
        <w:t>Nalepa</w:t>
      </w:r>
      <w:proofErr w:type="spellEnd"/>
      <w:r w:rsidRPr="00B81F2F">
        <w:t xml:space="preserve">, Monika. 2010. </w:t>
      </w:r>
      <w:r w:rsidRPr="00B81F2F">
        <w:rPr>
          <w:i/>
        </w:rPr>
        <w:t xml:space="preserve">Skeletons in the Closet: Transitional Justice in Post-Communist Europe. </w:t>
      </w:r>
      <w:proofErr w:type="gramStart"/>
      <w:r w:rsidRPr="00B81F2F">
        <w:t>Cambridge University Press.</w:t>
      </w:r>
      <w:proofErr w:type="gramEnd"/>
      <w:r w:rsidRPr="00B81F2F">
        <w:t xml:space="preserve"> </w:t>
      </w:r>
    </w:p>
    <w:p w:rsidR="00D66675" w:rsidRDefault="005A7563" w:rsidP="005A7563">
      <w:pPr>
        <w:pStyle w:val="ListParagraph"/>
        <w:ind w:hanging="720"/>
      </w:pPr>
      <w:r>
        <w:t xml:space="preserve">Nine </w:t>
      </w:r>
      <w:proofErr w:type="spellStart"/>
      <w:r>
        <w:t>O’Clock</w:t>
      </w:r>
      <w:proofErr w:type="spellEnd"/>
      <w:r w:rsidR="00D66675">
        <w:t xml:space="preserve">. </w:t>
      </w:r>
      <w:r>
        <w:t>2011. “</w:t>
      </w:r>
      <w:proofErr w:type="spellStart"/>
      <w:r>
        <w:t>Voiculescu</w:t>
      </w:r>
      <w:proofErr w:type="spellEnd"/>
      <w:r>
        <w:t xml:space="preserve"> Securitate informant verdict remains final” (June 23</w:t>
      </w:r>
      <w:r w:rsidR="00D66675">
        <w:t>).</w:t>
      </w:r>
    </w:p>
    <w:p w:rsidR="00DD1E5F" w:rsidRDefault="00DD1E5F" w:rsidP="005A7563">
      <w:pPr>
        <w:pStyle w:val="ListParagraph"/>
        <w:ind w:hanging="720"/>
      </w:pPr>
      <w:r>
        <w:t>---. 2012. “</w:t>
      </w:r>
      <w:proofErr w:type="spellStart"/>
      <w:r>
        <w:t>Dinu</w:t>
      </w:r>
      <w:proofErr w:type="spellEnd"/>
      <w:r>
        <w:t xml:space="preserve"> </w:t>
      </w:r>
      <w:proofErr w:type="spellStart"/>
      <w:r>
        <w:t>Patriciu</w:t>
      </w:r>
      <w:proofErr w:type="spellEnd"/>
      <w:r>
        <w:t xml:space="preserve"> cleared in </w:t>
      </w:r>
      <w:proofErr w:type="spellStart"/>
      <w:r>
        <w:t>Rompetrol</w:t>
      </w:r>
      <w:proofErr w:type="spellEnd"/>
      <w:r>
        <w:t xml:space="preserve"> file” (August 28).</w:t>
      </w:r>
    </w:p>
    <w:p w:rsidR="00D66675" w:rsidRDefault="00DD1E5F" w:rsidP="005A7563">
      <w:pPr>
        <w:pStyle w:val="ListParagraph"/>
        <w:ind w:hanging="720"/>
      </w:pPr>
      <w:r>
        <w:t>---</w:t>
      </w:r>
      <w:r w:rsidR="00D66675">
        <w:t xml:space="preserve">. 2013. </w:t>
      </w:r>
      <w:r w:rsidR="006501E2">
        <w:t>“</w:t>
      </w:r>
      <w:proofErr w:type="spellStart"/>
      <w:r w:rsidR="00D66675">
        <w:t>Gigi</w:t>
      </w:r>
      <w:proofErr w:type="spellEnd"/>
      <w:r w:rsidR="00D66675">
        <w:t xml:space="preserve"> </w:t>
      </w:r>
      <w:proofErr w:type="spellStart"/>
      <w:r w:rsidR="00D66675">
        <w:t>Becali</w:t>
      </w:r>
      <w:proofErr w:type="spellEnd"/>
      <w:r w:rsidR="00D66675">
        <w:t xml:space="preserve"> risks staying one more year in prison” (May 27). </w:t>
      </w:r>
    </w:p>
    <w:p w:rsidR="006501E2" w:rsidRDefault="006501E2" w:rsidP="005A7563">
      <w:pPr>
        <w:pStyle w:val="ListParagraph"/>
        <w:ind w:hanging="720"/>
      </w:pPr>
      <w:r>
        <w:t>---. 2014. “</w:t>
      </w:r>
      <w:proofErr w:type="spellStart"/>
      <w:r>
        <w:t>Voivulescu</w:t>
      </w:r>
      <w:proofErr w:type="spellEnd"/>
      <w:r>
        <w:t xml:space="preserve"> calls for ICA privatization to be cancelled” (April 15).</w:t>
      </w:r>
    </w:p>
    <w:p w:rsidR="004A21DB" w:rsidRDefault="00D1600D" w:rsidP="005A7563">
      <w:pPr>
        <w:pStyle w:val="ListParagraph"/>
        <w:ind w:hanging="720"/>
      </w:pPr>
      <w:proofErr w:type="spellStart"/>
      <w:r>
        <w:t>Pettai</w:t>
      </w:r>
      <w:proofErr w:type="spellEnd"/>
      <w:r>
        <w:t xml:space="preserve">, </w:t>
      </w:r>
      <w:proofErr w:type="spellStart"/>
      <w:r>
        <w:t>Vello</w:t>
      </w:r>
      <w:proofErr w:type="spellEnd"/>
      <w:r>
        <w:t>. 2013</w:t>
      </w:r>
      <w:r w:rsidR="004A21DB" w:rsidRPr="009C1C82">
        <w:t xml:space="preserve">. “Estonia.” </w:t>
      </w:r>
      <w:proofErr w:type="gramStart"/>
      <w:r w:rsidR="004A21DB" w:rsidRPr="009C1C82">
        <w:t xml:space="preserve">In </w:t>
      </w:r>
      <w:r w:rsidR="004A21DB" w:rsidRPr="009C1C82">
        <w:rPr>
          <w:i/>
        </w:rPr>
        <w:t xml:space="preserve">Encyclopedia of Transitional Justice, Vol. 2, </w:t>
      </w:r>
      <w:r w:rsidR="004A21DB" w:rsidRPr="009C1C82">
        <w:t xml:space="preserve">eds. Stan and </w:t>
      </w:r>
      <w:proofErr w:type="spellStart"/>
      <w:r w:rsidR="004A21DB" w:rsidRPr="009C1C82">
        <w:t>Nedelsky</w:t>
      </w:r>
      <w:proofErr w:type="spellEnd"/>
      <w:r w:rsidR="004A21DB" w:rsidRPr="009C1C82">
        <w:t>.</w:t>
      </w:r>
      <w:proofErr w:type="gramEnd"/>
      <w:r w:rsidR="004A21DB" w:rsidRPr="009C1C82">
        <w:t xml:space="preserve"> Cambridge: Cambridge University Press: 161-167.</w:t>
      </w:r>
    </w:p>
    <w:p w:rsidR="00B81F2F" w:rsidRPr="00B81F2F" w:rsidRDefault="00B81F2F" w:rsidP="005A7563">
      <w:pPr>
        <w:pStyle w:val="ListParagraph"/>
        <w:ind w:hanging="720"/>
      </w:pPr>
      <w:r>
        <w:t xml:space="preserve">Rosenberg, Tina. 1995. </w:t>
      </w:r>
      <w:r>
        <w:rPr>
          <w:i/>
        </w:rPr>
        <w:t xml:space="preserve">The Haunted Land: Facing Europe’s Ghosts </w:t>
      </w:r>
      <w:proofErr w:type="gramStart"/>
      <w:r>
        <w:rPr>
          <w:i/>
        </w:rPr>
        <w:t>After</w:t>
      </w:r>
      <w:proofErr w:type="gramEnd"/>
      <w:r>
        <w:rPr>
          <w:i/>
        </w:rPr>
        <w:t xml:space="preserve"> Communism. </w:t>
      </w:r>
      <w:proofErr w:type="gramStart"/>
      <w:r>
        <w:t>Random House.</w:t>
      </w:r>
      <w:proofErr w:type="gramEnd"/>
      <w:r>
        <w:t xml:space="preserve"> </w:t>
      </w:r>
    </w:p>
    <w:p w:rsidR="004A21DB" w:rsidRPr="00BA7F01" w:rsidRDefault="004A21DB" w:rsidP="004A21DB">
      <w:pPr>
        <w:spacing w:after="0" w:line="240" w:lineRule="auto"/>
        <w:ind w:left="720" w:hanging="720"/>
        <w:rPr>
          <w:rFonts w:cs="Times New Roman"/>
          <w:sz w:val="24"/>
          <w:szCs w:val="24"/>
        </w:rPr>
      </w:pPr>
      <w:r w:rsidRPr="00BA7F01">
        <w:rPr>
          <w:rFonts w:cs="Times New Roman"/>
          <w:sz w:val="24"/>
          <w:szCs w:val="24"/>
        </w:rPr>
        <w:t xml:space="preserve">Schwartz, Herman. 1995. “Lustration in Eastern Europe.” </w:t>
      </w:r>
      <w:proofErr w:type="gramStart"/>
      <w:r w:rsidRPr="00BA7F01">
        <w:rPr>
          <w:rFonts w:cs="Times New Roman"/>
          <w:sz w:val="24"/>
          <w:szCs w:val="24"/>
        </w:rPr>
        <w:t xml:space="preserve">In </w:t>
      </w:r>
      <w:r w:rsidRPr="00BA7F01">
        <w:rPr>
          <w:rFonts w:cs="Times New Roman"/>
          <w:i/>
          <w:sz w:val="24"/>
          <w:szCs w:val="24"/>
        </w:rPr>
        <w:t>Transitional Justice,</w:t>
      </w:r>
      <w:r w:rsidRPr="00BA7F01">
        <w:rPr>
          <w:rFonts w:cs="Times New Roman"/>
          <w:sz w:val="24"/>
          <w:szCs w:val="24"/>
        </w:rPr>
        <w:t xml:space="preserve"> Vol.</w:t>
      </w:r>
      <w:proofErr w:type="gramEnd"/>
      <w:r w:rsidRPr="00BA7F01">
        <w:rPr>
          <w:rFonts w:cs="Times New Roman"/>
          <w:sz w:val="24"/>
          <w:szCs w:val="24"/>
        </w:rPr>
        <w:t xml:space="preserve"> I, ed. Kritz, Washington, D.C.: United States Institute of Peace Press</w:t>
      </w:r>
      <w:r w:rsidR="00BA7F01" w:rsidRPr="00BA7F01">
        <w:rPr>
          <w:rFonts w:cs="Times New Roman"/>
          <w:sz w:val="24"/>
          <w:szCs w:val="24"/>
        </w:rPr>
        <w:t>: 461-483</w:t>
      </w:r>
      <w:r w:rsidRPr="00BA7F01">
        <w:rPr>
          <w:rFonts w:cs="Times New Roman"/>
          <w:sz w:val="24"/>
          <w:szCs w:val="24"/>
        </w:rPr>
        <w:t>.</w:t>
      </w:r>
    </w:p>
    <w:p w:rsidR="004A21DB" w:rsidRPr="009C1C82" w:rsidRDefault="004A21DB" w:rsidP="004A21DB">
      <w:pPr>
        <w:pStyle w:val="FootnoteText"/>
        <w:ind w:left="720" w:hanging="720"/>
        <w:rPr>
          <w:sz w:val="24"/>
          <w:szCs w:val="24"/>
        </w:rPr>
      </w:pPr>
      <w:r>
        <w:rPr>
          <w:sz w:val="24"/>
          <w:szCs w:val="24"/>
        </w:rPr>
        <w:t xml:space="preserve">Sofia Echo. 2012. </w:t>
      </w:r>
      <w:r w:rsidRPr="009C1C82">
        <w:rPr>
          <w:sz w:val="24"/>
          <w:szCs w:val="24"/>
        </w:rPr>
        <w:t xml:space="preserve">“Bulgaria Edges Closer </w:t>
      </w:r>
      <w:r>
        <w:rPr>
          <w:sz w:val="24"/>
          <w:szCs w:val="24"/>
        </w:rPr>
        <w:t>to Checking Credit Millionaires</w:t>
      </w:r>
      <w:r w:rsidRPr="009C1C82">
        <w:rPr>
          <w:sz w:val="24"/>
          <w:szCs w:val="24"/>
        </w:rPr>
        <w:t>” (</w:t>
      </w:r>
      <w:r>
        <w:rPr>
          <w:sz w:val="24"/>
          <w:szCs w:val="24"/>
        </w:rPr>
        <w:t>March 8).</w:t>
      </w:r>
    </w:p>
    <w:p w:rsidR="004A21DB" w:rsidRDefault="004A21DB" w:rsidP="004A21DB">
      <w:pPr>
        <w:pStyle w:val="Heading2"/>
        <w:spacing w:before="0" w:line="240" w:lineRule="auto"/>
        <w:ind w:left="720" w:hanging="720"/>
        <w:rPr>
          <w:rFonts w:ascii="Times New Roman" w:hAnsi="Times New Roman" w:cs="Times New Roman"/>
          <w:b w:val="0"/>
          <w:sz w:val="24"/>
          <w:szCs w:val="24"/>
        </w:rPr>
      </w:pPr>
      <w:r>
        <w:rPr>
          <w:rFonts w:ascii="Times New Roman" w:hAnsi="Times New Roman" w:cs="Times New Roman"/>
          <w:b w:val="0"/>
          <w:color w:val="auto"/>
          <w:sz w:val="24"/>
          <w:szCs w:val="24"/>
        </w:rPr>
        <w:t xml:space="preserve">---. 2012. </w:t>
      </w:r>
      <w:r w:rsidRPr="009C1C82">
        <w:rPr>
          <w:rFonts w:ascii="Times New Roman" w:hAnsi="Times New Roman" w:cs="Times New Roman"/>
          <w:b w:val="0"/>
          <w:color w:val="auto"/>
          <w:sz w:val="24"/>
          <w:szCs w:val="24"/>
        </w:rPr>
        <w:t>“Bulgarian MPs vote for check into credit millionaires' commun</w:t>
      </w:r>
      <w:r>
        <w:rPr>
          <w:rFonts w:ascii="Times New Roman" w:hAnsi="Times New Roman" w:cs="Times New Roman"/>
          <w:b w:val="0"/>
          <w:color w:val="auto"/>
          <w:sz w:val="24"/>
          <w:szCs w:val="24"/>
        </w:rPr>
        <w:t>ist secret service links</w:t>
      </w:r>
      <w:r w:rsidRPr="009C1C8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Pr="009C1C82">
        <w:rPr>
          <w:rFonts w:ascii="Times New Roman" w:hAnsi="Times New Roman" w:cs="Times New Roman"/>
          <w:b w:val="0"/>
          <w:color w:val="auto"/>
          <w:sz w:val="24"/>
          <w:szCs w:val="24"/>
        </w:rPr>
        <w:t>(April 4</w:t>
      </w:r>
      <w:r>
        <w:rPr>
          <w:rFonts w:ascii="Times New Roman" w:hAnsi="Times New Roman" w:cs="Times New Roman"/>
          <w:b w:val="0"/>
          <w:color w:val="auto"/>
          <w:sz w:val="24"/>
          <w:szCs w:val="24"/>
        </w:rPr>
        <w:t>).</w:t>
      </w:r>
      <w:r w:rsidRPr="009C1C82">
        <w:rPr>
          <w:rFonts w:ascii="Times New Roman" w:hAnsi="Times New Roman" w:cs="Times New Roman"/>
          <w:b w:val="0"/>
          <w:sz w:val="24"/>
          <w:szCs w:val="24"/>
        </w:rPr>
        <w:t xml:space="preserve"> </w:t>
      </w:r>
    </w:p>
    <w:p w:rsidR="004A21DB" w:rsidRPr="007E252A" w:rsidRDefault="004A21DB" w:rsidP="007E252A">
      <w:pPr>
        <w:spacing w:after="0" w:line="240" w:lineRule="auto"/>
        <w:ind w:left="720" w:hanging="720"/>
        <w:rPr>
          <w:rFonts w:cs="Times New Roman"/>
          <w:sz w:val="24"/>
          <w:szCs w:val="24"/>
        </w:rPr>
      </w:pPr>
      <w:r>
        <w:rPr>
          <w:rFonts w:cs="Times New Roman"/>
          <w:sz w:val="24"/>
          <w:szCs w:val="24"/>
        </w:rPr>
        <w:t>---. 2009. “Keeping the Bad Guys Out</w:t>
      </w:r>
      <w:r w:rsidRPr="009C1C82">
        <w:rPr>
          <w:rFonts w:cs="Times New Roman"/>
          <w:sz w:val="24"/>
          <w:szCs w:val="24"/>
        </w:rPr>
        <w:t xml:space="preserve">” </w:t>
      </w:r>
      <w:r>
        <w:rPr>
          <w:rFonts w:cs="Times New Roman"/>
          <w:sz w:val="24"/>
          <w:szCs w:val="24"/>
        </w:rPr>
        <w:t>(</w:t>
      </w:r>
      <w:r w:rsidRPr="009C1C82">
        <w:rPr>
          <w:rFonts w:cs="Times New Roman"/>
          <w:sz w:val="24"/>
          <w:szCs w:val="24"/>
        </w:rPr>
        <w:t>September 4</w:t>
      </w:r>
      <w:r>
        <w:rPr>
          <w:rFonts w:cs="Times New Roman"/>
          <w:sz w:val="24"/>
          <w:szCs w:val="24"/>
        </w:rPr>
        <w:t>)</w:t>
      </w:r>
      <w:r w:rsidRPr="009C1C82">
        <w:rPr>
          <w:rFonts w:cs="Times New Roman"/>
          <w:sz w:val="24"/>
          <w:szCs w:val="24"/>
        </w:rPr>
        <w:t>.</w:t>
      </w:r>
    </w:p>
    <w:p w:rsidR="004A21DB" w:rsidRPr="009C1C82" w:rsidRDefault="004A21DB" w:rsidP="004A21DB">
      <w:pPr>
        <w:pStyle w:val="ListParagraph"/>
        <w:ind w:hanging="720"/>
      </w:pPr>
      <w:r>
        <w:t>---. 2012. “</w:t>
      </w:r>
      <w:r w:rsidRPr="009C1C82">
        <w:rPr>
          <w:rFonts w:eastAsia="Times New Roman"/>
          <w:bCs/>
        </w:rPr>
        <w:t>Media campaign to discredit Bulgarian Orthodox Church is fai</w:t>
      </w:r>
      <w:r>
        <w:rPr>
          <w:rFonts w:eastAsia="Times New Roman"/>
          <w:bCs/>
        </w:rPr>
        <w:t>ling, Plovdiv metropolitan says</w:t>
      </w:r>
      <w:r w:rsidRPr="009C1C82">
        <w:rPr>
          <w:rFonts w:eastAsia="Times New Roman"/>
          <w:bCs/>
        </w:rPr>
        <w:t xml:space="preserve">” </w:t>
      </w:r>
      <w:r>
        <w:rPr>
          <w:rFonts w:eastAsia="Times New Roman"/>
          <w:bCs/>
        </w:rPr>
        <w:t>(</w:t>
      </w:r>
      <w:r w:rsidRPr="009C1C82">
        <w:rPr>
          <w:rFonts w:eastAsia="Times New Roman"/>
          <w:bCs/>
        </w:rPr>
        <w:t>March 18</w:t>
      </w:r>
      <w:r>
        <w:rPr>
          <w:rFonts w:eastAsia="Times New Roman"/>
          <w:bCs/>
        </w:rPr>
        <w:t>)</w:t>
      </w:r>
      <w:r w:rsidRPr="009C1C82">
        <w:rPr>
          <w:rFonts w:eastAsia="Times New Roman"/>
          <w:bCs/>
        </w:rPr>
        <w:t>.</w:t>
      </w:r>
    </w:p>
    <w:p w:rsidR="004A21DB" w:rsidRPr="009C1C82" w:rsidRDefault="004A21DB" w:rsidP="004A21DB">
      <w:pPr>
        <w:spacing w:after="0" w:line="240" w:lineRule="auto"/>
        <w:ind w:left="720" w:hanging="720"/>
        <w:outlineLvl w:val="1"/>
        <w:rPr>
          <w:rFonts w:eastAsia="Times New Roman" w:cs="Times New Roman"/>
          <w:sz w:val="24"/>
          <w:szCs w:val="24"/>
        </w:rPr>
      </w:pPr>
      <w:r>
        <w:rPr>
          <w:rFonts w:cs="Times New Roman"/>
          <w:sz w:val="24"/>
          <w:szCs w:val="24"/>
        </w:rPr>
        <w:t xml:space="preserve">---. 2012. </w:t>
      </w:r>
      <w:r w:rsidRPr="009C1C82">
        <w:rPr>
          <w:rStyle w:val="FootnoteReference"/>
          <w:rFonts w:cs="Times New Roman"/>
          <w:sz w:val="24"/>
          <w:szCs w:val="24"/>
        </w:rPr>
        <w:t>“</w:t>
      </w:r>
      <w:r w:rsidRPr="009C1C82">
        <w:rPr>
          <w:rFonts w:eastAsia="Times New Roman" w:cs="Times New Roman"/>
          <w:bCs/>
          <w:sz w:val="24"/>
          <w:szCs w:val="24"/>
        </w:rPr>
        <w:t>Mixed reaction to disclosures about Bulgaria’s communist-era spies in t</w:t>
      </w:r>
      <w:r>
        <w:rPr>
          <w:rFonts w:eastAsia="Times New Roman" w:cs="Times New Roman"/>
          <w:bCs/>
          <w:sz w:val="24"/>
          <w:szCs w:val="24"/>
        </w:rPr>
        <w:t>he church, poll says</w:t>
      </w:r>
      <w:r w:rsidRPr="009C1C82">
        <w:rPr>
          <w:rFonts w:eastAsia="Times New Roman" w:cs="Times New Roman"/>
          <w:bCs/>
          <w:sz w:val="24"/>
          <w:szCs w:val="24"/>
        </w:rPr>
        <w:t xml:space="preserve">” </w:t>
      </w:r>
      <w:r>
        <w:rPr>
          <w:rFonts w:eastAsia="Times New Roman" w:cs="Times New Roman"/>
          <w:bCs/>
          <w:sz w:val="24"/>
          <w:szCs w:val="24"/>
        </w:rPr>
        <w:t>(</w:t>
      </w:r>
      <w:r w:rsidRPr="009C1C82">
        <w:rPr>
          <w:rFonts w:eastAsia="Times New Roman" w:cs="Times New Roman"/>
          <w:bCs/>
          <w:sz w:val="24"/>
          <w:szCs w:val="24"/>
        </w:rPr>
        <w:t>March 5</w:t>
      </w:r>
      <w:r>
        <w:rPr>
          <w:rFonts w:eastAsia="Times New Roman" w:cs="Times New Roman"/>
          <w:bCs/>
          <w:sz w:val="24"/>
          <w:szCs w:val="24"/>
        </w:rPr>
        <w:t>).</w:t>
      </w:r>
      <w:r w:rsidRPr="009C1C82">
        <w:rPr>
          <w:rFonts w:eastAsia="Times New Roman" w:cs="Times New Roman"/>
          <w:bCs/>
          <w:sz w:val="24"/>
          <w:szCs w:val="24"/>
        </w:rPr>
        <w:t xml:space="preserve"> </w:t>
      </w:r>
    </w:p>
    <w:p w:rsidR="004A21DB" w:rsidRPr="009C1C82" w:rsidRDefault="004A21DB" w:rsidP="004A21DB">
      <w:pPr>
        <w:spacing w:after="0" w:line="240" w:lineRule="auto"/>
        <w:ind w:left="720" w:hanging="720"/>
        <w:rPr>
          <w:rFonts w:eastAsia="Times New Roman" w:cs="Times New Roman"/>
          <w:sz w:val="24"/>
          <w:szCs w:val="24"/>
        </w:rPr>
      </w:pPr>
      <w:r>
        <w:rPr>
          <w:rFonts w:eastAsia="Times New Roman" w:cs="Times New Roman"/>
          <w:sz w:val="24"/>
          <w:szCs w:val="24"/>
        </w:rPr>
        <w:t xml:space="preserve">---. </w:t>
      </w:r>
      <w:r w:rsidR="00D1600D">
        <w:rPr>
          <w:rFonts w:eastAsia="Times New Roman" w:cs="Times New Roman"/>
          <w:sz w:val="24"/>
          <w:szCs w:val="24"/>
        </w:rPr>
        <w:t>“Wide Screen</w:t>
      </w:r>
      <w:r w:rsidRPr="009C1C82">
        <w:rPr>
          <w:rFonts w:eastAsia="Times New Roman" w:cs="Times New Roman"/>
          <w:sz w:val="24"/>
          <w:szCs w:val="24"/>
        </w:rPr>
        <w:t xml:space="preserve">” </w:t>
      </w:r>
      <w:r>
        <w:rPr>
          <w:rFonts w:eastAsia="Times New Roman" w:cs="Times New Roman"/>
          <w:sz w:val="24"/>
          <w:szCs w:val="24"/>
        </w:rPr>
        <w:t>(</w:t>
      </w:r>
      <w:r w:rsidRPr="009C1C82">
        <w:rPr>
          <w:rFonts w:eastAsia="Times New Roman" w:cs="Times New Roman"/>
          <w:sz w:val="24"/>
          <w:szCs w:val="24"/>
        </w:rPr>
        <w:t>February 24</w:t>
      </w:r>
      <w:r>
        <w:rPr>
          <w:rFonts w:eastAsia="Times New Roman" w:cs="Times New Roman"/>
          <w:sz w:val="24"/>
          <w:szCs w:val="24"/>
        </w:rPr>
        <w:t>)</w:t>
      </w:r>
      <w:r w:rsidRPr="009C1C82">
        <w:rPr>
          <w:rFonts w:cs="Times New Roman"/>
          <w:sz w:val="24"/>
          <w:szCs w:val="24"/>
        </w:rPr>
        <w:t>.</w:t>
      </w:r>
    </w:p>
    <w:p w:rsidR="004A21DB" w:rsidRPr="009C1C82" w:rsidRDefault="004A21DB" w:rsidP="004A21DB">
      <w:pPr>
        <w:pStyle w:val="FootnoteText"/>
        <w:ind w:left="720" w:hanging="720"/>
        <w:rPr>
          <w:sz w:val="24"/>
          <w:szCs w:val="24"/>
        </w:rPr>
      </w:pPr>
      <w:r w:rsidRPr="009C1C82">
        <w:rPr>
          <w:sz w:val="24"/>
          <w:szCs w:val="24"/>
        </w:rPr>
        <w:t>Stan, Lavinia. 2010. “Communist Nostalgia in Romania.”</w:t>
      </w:r>
      <w:r w:rsidRPr="009C1C82">
        <w:rPr>
          <w:i/>
          <w:sz w:val="24"/>
          <w:szCs w:val="24"/>
        </w:rPr>
        <w:t xml:space="preserve"> Lavinia Stan </w:t>
      </w:r>
      <w:proofErr w:type="spellStart"/>
      <w:r w:rsidRPr="009C1C82">
        <w:rPr>
          <w:i/>
          <w:sz w:val="24"/>
          <w:szCs w:val="24"/>
        </w:rPr>
        <w:t>blogspot</w:t>
      </w:r>
      <w:proofErr w:type="spellEnd"/>
      <w:r>
        <w:rPr>
          <w:i/>
          <w:sz w:val="24"/>
          <w:szCs w:val="24"/>
        </w:rPr>
        <w:t xml:space="preserve"> </w:t>
      </w:r>
      <w:r>
        <w:rPr>
          <w:sz w:val="24"/>
          <w:szCs w:val="24"/>
        </w:rPr>
        <w:t>(</w:t>
      </w:r>
      <w:r w:rsidRPr="009C1C82">
        <w:rPr>
          <w:sz w:val="24"/>
          <w:szCs w:val="24"/>
        </w:rPr>
        <w:t>December 12</w:t>
      </w:r>
      <w:r>
        <w:rPr>
          <w:sz w:val="24"/>
          <w:szCs w:val="24"/>
        </w:rPr>
        <w:t>, 2010)</w:t>
      </w:r>
      <w:r w:rsidRPr="009C1C82">
        <w:rPr>
          <w:sz w:val="24"/>
          <w:szCs w:val="24"/>
        </w:rPr>
        <w:t xml:space="preserve">. </w:t>
      </w:r>
      <w:hyperlink r:id="rId20" w:history="1">
        <w:r w:rsidRPr="009C1C82">
          <w:rPr>
            <w:rStyle w:val="Hyperlink"/>
            <w:sz w:val="24"/>
            <w:szCs w:val="24"/>
          </w:rPr>
          <w:t>http://laviniastan.wordpress.com/</w:t>
        </w:r>
      </w:hyperlink>
      <w:r w:rsidRPr="009C1C82">
        <w:rPr>
          <w:sz w:val="24"/>
          <w:szCs w:val="24"/>
        </w:rPr>
        <w:t>, accessed January 20, 2014.</w:t>
      </w:r>
    </w:p>
    <w:p w:rsidR="004A21DB" w:rsidRPr="009C1C82" w:rsidRDefault="004A21DB" w:rsidP="004A21DB">
      <w:pPr>
        <w:autoSpaceDE w:val="0"/>
        <w:autoSpaceDN w:val="0"/>
        <w:adjustRightInd w:val="0"/>
        <w:spacing w:after="0" w:line="240" w:lineRule="auto"/>
        <w:ind w:left="720" w:hanging="720"/>
        <w:rPr>
          <w:rFonts w:cs="Times New Roman"/>
          <w:sz w:val="24"/>
          <w:szCs w:val="24"/>
        </w:rPr>
      </w:pPr>
      <w:r>
        <w:rPr>
          <w:rFonts w:cs="Times New Roman"/>
          <w:color w:val="000000"/>
          <w:sz w:val="24"/>
          <w:szCs w:val="24"/>
        </w:rPr>
        <w:t xml:space="preserve">---. </w:t>
      </w:r>
      <w:r w:rsidRPr="009C1C82">
        <w:rPr>
          <w:rFonts w:cs="Times New Roman"/>
          <w:color w:val="000000"/>
          <w:sz w:val="24"/>
          <w:szCs w:val="24"/>
        </w:rPr>
        <w:t xml:space="preserve">2002. “Moral Cleansing Romanian Style.” </w:t>
      </w:r>
      <w:r w:rsidRPr="009C1C82">
        <w:rPr>
          <w:rFonts w:cs="Times New Roman"/>
          <w:i/>
          <w:color w:val="000000"/>
          <w:sz w:val="24"/>
          <w:szCs w:val="24"/>
        </w:rPr>
        <w:t>Problems of Post Com</w:t>
      </w:r>
      <w:r>
        <w:rPr>
          <w:rFonts w:cs="Times New Roman"/>
          <w:i/>
          <w:color w:val="000000"/>
          <w:sz w:val="24"/>
          <w:szCs w:val="24"/>
        </w:rPr>
        <w:t>munism</w:t>
      </w:r>
      <w:r w:rsidRPr="009C1C82">
        <w:rPr>
          <w:rFonts w:cs="Times New Roman"/>
          <w:i/>
          <w:color w:val="000000"/>
          <w:sz w:val="24"/>
          <w:szCs w:val="24"/>
        </w:rPr>
        <w:t xml:space="preserve"> </w:t>
      </w:r>
      <w:r w:rsidRPr="009C1C82">
        <w:rPr>
          <w:rFonts w:cs="Times New Roman"/>
          <w:color w:val="000000"/>
          <w:sz w:val="24"/>
          <w:szCs w:val="24"/>
        </w:rPr>
        <w:t>49(4): 52-62.</w:t>
      </w:r>
    </w:p>
    <w:p w:rsidR="004A21DB" w:rsidRPr="009C1C82" w:rsidRDefault="004A21DB" w:rsidP="004A21DB">
      <w:pPr>
        <w:autoSpaceDE w:val="0"/>
        <w:autoSpaceDN w:val="0"/>
        <w:adjustRightInd w:val="0"/>
        <w:spacing w:after="0" w:line="240" w:lineRule="auto"/>
        <w:ind w:left="720" w:hanging="720"/>
        <w:rPr>
          <w:rFonts w:cs="Times New Roman"/>
          <w:color w:val="000000"/>
          <w:sz w:val="24"/>
          <w:szCs w:val="24"/>
        </w:rPr>
      </w:pPr>
      <w:r>
        <w:rPr>
          <w:rFonts w:cs="Times New Roman"/>
          <w:color w:val="000000"/>
          <w:sz w:val="24"/>
          <w:szCs w:val="24"/>
        </w:rPr>
        <w:t>---.</w:t>
      </w:r>
      <w:r w:rsidRPr="009C1C82">
        <w:rPr>
          <w:rFonts w:cs="Times New Roman"/>
          <w:color w:val="000000"/>
          <w:sz w:val="24"/>
          <w:szCs w:val="24"/>
        </w:rPr>
        <w:t xml:space="preserve"> 2006. “The Politics of Memory in Poland: Lustration, File Access and Court Proceedings.” </w:t>
      </w:r>
      <w:proofErr w:type="gramStart"/>
      <w:r w:rsidRPr="009C1C82">
        <w:rPr>
          <w:rFonts w:cs="Times New Roman"/>
          <w:i/>
          <w:color w:val="000000"/>
          <w:sz w:val="24"/>
          <w:szCs w:val="24"/>
        </w:rPr>
        <w:t>Studies in Post-Communism Occasional Paper</w:t>
      </w:r>
      <w:r w:rsidRPr="009C1C82">
        <w:rPr>
          <w:rFonts w:cs="Times New Roman"/>
          <w:color w:val="000000"/>
          <w:sz w:val="24"/>
          <w:szCs w:val="24"/>
        </w:rPr>
        <w:t>, No. 10.</w:t>
      </w:r>
      <w:proofErr w:type="gramEnd"/>
      <w:r w:rsidRPr="009C1C82">
        <w:rPr>
          <w:rFonts w:cs="Times New Roman"/>
          <w:color w:val="000000"/>
          <w:sz w:val="24"/>
          <w:szCs w:val="24"/>
        </w:rPr>
        <w:t xml:space="preserve"> St. Francis Xavier University, Centre for Post-Communist Studies. </w:t>
      </w:r>
    </w:p>
    <w:p w:rsidR="004A21DB" w:rsidRDefault="004A21DB" w:rsidP="004A21DB">
      <w:pPr>
        <w:autoSpaceDE w:val="0"/>
        <w:autoSpaceDN w:val="0"/>
        <w:adjustRightInd w:val="0"/>
        <w:spacing w:after="0" w:line="240" w:lineRule="auto"/>
        <w:ind w:left="720" w:hanging="720"/>
        <w:rPr>
          <w:rFonts w:cs="Times New Roman"/>
          <w:sz w:val="24"/>
          <w:szCs w:val="24"/>
        </w:rPr>
      </w:pPr>
      <w:r w:rsidRPr="009C1C82">
        <w:rPr>
          <w:rFonts w:cs="Times New Roman"/>
          <w:sz w:val="24"/>
          <w:szCs w:val="24"/>
        </w:rPr>
        <w:t xml:space="preserve">---. 2012. </w:t>
      </w:r>
      <w:r w:rsidRPr="009C1C82">
        <w:rPr>
          <w:rFonts w:cs="Times New Roman"/>
          <w:i/>
          <w:sz w:val="24"/>
          <w:szCs w:val="24"/>
        </w:rPr>
        <w:t xml:space="preserve">Transitional Justice in Post-Communist Romania: The Politics of Memory. </w:t>
      </w:r>
      <w:r w:rsidRPr="009C1C82">
        <w:rPr>
          <w:rFonts w:cs="Times New Roman"/>
          <w:sz w:val="24"/>
          <w:szCs w:val="24"/>
        </w:rPr>
        <w:t>Cambridge: Cambridge University Press.</w:t>
      </w:r>
    </w:p>
    <w:p w:rsidR="004A21DB" w:rsidRPr="005906C1" w:rsidRDefault="004A21DB" w:rsidP="004A21DB">
      <w:pPr>
        <w:autoSpaceDE w:val="0"/>
        <w:autoSpaceDN w:val="0"/>
        <w:adjustRightInd w:val="0"/>
        <w:spacing w:after="0" w:line="240" w:lineRule="auto"/>
        <w:ind w:left="720" w:hanging="720"/>
        <w:rPr>
          <w:rFonts w:cs="Times New Roman"/>
          <w:sz w:val="24"/>
          <w:szCs w:val="24"/>
        </w:rPr>
      </w:pPr>
      <w:r>
        <w:rPr>
          <w:rFonts w:cs="Times New Roman"/>
          <w:sz w:val="24"/>
          <w:szCs w:val="24"/>
        </w:rPr>
        <w:t xml:space="preserve">---. 2011. “Vigilante Justice in Post-Communist Europe.” </w:t>
      </w:r>
      <w:r>
        <w:rPr>
          <w:rFonts w:cs="Times New Roman"/>
          <w:i/>
          <w:sz w:val="24"/>
          <w:szCs w:val="24"/>
        </w:rPr>
        <w:t>Communist and Post-Communist Studies</w:t>
      </w:r>
      <w:r>
        <w:rPr>
          <w:rFonts w:cs="Times New Roman"/>
          <w:sz w:val="24"/>
          <w:szCs w:val="24"/>
        </w:rPr>
        <w:t xml:space="preserve"> 44</w:t>
      </w:r>
      <w:proofErr w:type="gramStart"/>
      <w:r>
        <w:rPr>
          <w:rFonts w:cs="Times New Roman"/>
          <w:sz w:val="24"/>
          <w:szCs w:val="24"/>
        </w:rPr>
        <w:t>,4</w:t>
      </w:r>
      <w:proofErr w:type="gramEnd"/>
      <w:r>
        <w:rPr>
          <w:rFonts w:cs="Times New Roman"/>
          <w:sz w:val="24"/>
          <w:szCs w:val="24"/>
        </w:rPr>
        <w:t>: 319-327.</w:t>
      </w:r>
    </w:p>
    <w:p w:rsidR="004A21DB" w:rsidRPr="00E16A69" w:rsidRDefault="004A21DB" w:rsidP="004A21DB">
      <w:pPr>
        <w:autoSpaceDE w:val="0"/>
        <w:autoSpaceDN w:val="0"/>
        <w:adjustRightInd w:val="0"/>
        <w:spacing w:after="0" w:line="240" w:lineRule="auto"/>
        <w:ind w:left="720" w:hanging="720"/>
        <w:rPr>
          <w:rFonts w:cs="Times New Roman"/>
          <w:sz w:val="24"/>
          <w:szCs w:val="24"/>
        </w:rPr>
      </w:pPr>
      <w:r>
        <w:rPr>
          <w:rFonts w:cs="Times New Roman"/>
          <w:sz w:val="24"/>
          <w:szCs w:val="24"/>
        </w:rPr>
        <w:t>Stan, Lavinia,</w:t>
      </w:r>
      <w:r w:rsidRPr="009C1C82">
        <w:rPr>
          <w:rFonts w:cs="Times New Roman"/>
          <w:sz w:val="24"/>
          <w:szCs w:val="24"/>
        </w:rPr>
        <w:t xml:space="preserve"> </w:t>
      </w:r>
      <w:proofErr w:type="gramStart"/>
      <w:r w:rsidRPr="009C1C82">
        <w:rPr>
          <w:rFonts w:cs="Times New Roman"/>
          <w:sz w:val="24"/>
          <w:szCs w:val="24"/>
        </w:rPr>
        <w:t>ed</w:t>
      </w:r>
      <w:proofErr w:type="gramEnd"/>
      <w:r w:rsidRPr="009C1C82">
        <w:rPr>
          <w:rFonts w:cs="Times New Roman"/>
          <w:sz w:val="24"/>
          <w:szCs w:val="24"/>
        </w:rPr>
        <w:t xml:space="preserve">. </w:t>
      </w:r>
      <w:r>
        <w:rPr>
          <w:rFonts w:cs="Times New Roman"/>
          <w:sz w:val="24"/>
          <w:szCs w:val="24"/>
        </w:rPr>
        <w:t xml:space="preserve"> </w:t>
      </w:r>
      <w:r w:rsidRPr="009C1C82">
        <w:rPr>
          <w:rFonts w:cs="Times New Roman"/>
          <w:sz w:val="24"/>
          <w:szCs w:val="24"/>
        </w:rPr>
        <w:t xml:space="preserve">2009. </w:t>
      </w:r>
      <w:r w:rsidRPr="009C1C82">
        <w:rPr>
          <w:rFonts w:cs="Times New Roman"/>
          <w:i/>
          <w:sz w:val="24"/>
          <w:szCs w:val="24"/>
        </w:rPr>
        <w:t>Transitional Justice in Eastern Europe and the Former Soviet Union: Reckoning with the communist past</w:t>
      </w:r>
      <w:r w:rsidRPr="009C1C82">
        <w:rPr>
          <w:rFonts w:cs="Times New Roman"/>
          <w:sz w:val="24"/>
          <w:szCs w:val="24"/>
        </w:rPr>
        <w:t xml:space="preserve">. New York: </w:t>
      </w:r>
      <w:proofErr w:type="spellStart"/>
      <w:r w:rsidRPr="009C1C82">
        <w:rPr>
          <w:rFonts w:cs="Times New Roman"/>
          <w:sz w:val="24"/>
          <w:szCs w:val="24"/>
        </w:rPr>
        <w:t>Routledge</w:t>
      </w:r>
      <w:proofErr w:type="spellEnd"/>
      <w:r w:rsidRPr="009C1C82">
        <w:rPr>
          <w:rFonts w:cs="Times New Roman"/>
          <w:sz w:val="24"/>
          <w:szCs w:val="24"/>
        </w:rPr>
        <w:t xml:space="preserve"> Press.</w:t>
      </w:r>
    </w:p>
    <w:p w:rsidR="004A21DB" w:rsidRPr="00D1600D" w:rsidRDefault="004A21DB" w:rsidP="004A21DB">
      <w:pPr>
        <w:pStyle w:val="EndnoteText"/>
        <w:ind w:left="720" w:hanging="720"/>
        <w:rPr>
          <w:sz w:val="24"/>
          <w:szCs w:val="24"/>
        </w:rPr>
      </w:pPr>
      <w:proofErr w:type="gramStart"/>
      <w:r w:rsidRPr="009C1C82">
        <w:rPr>
          <w:sz w:val="24"/>
          <w:szCs w:val="24"/>
        </w:rPr>
        <w:t xml:space="preserve">Stan, Lavinia and Lucian </w:t>
      </w:r>
      <w:proofErr w:type="spellStart"/>
      <w:r w:rsidRPr="009C1C82">
        <w:rPr>
          <w:sz w:val="24"/>
          <w:szCs w:val="24"/>
        </w:rPr>
        <w:t>Turcescu</w:t>
      </w:r>
      <w:proofErr w:type="spellEnd"/>
      <w:r w:rsidRPr="009C1C82">
        <w:rPr>
          <w:sz w:val="24"/>
          <w:szCs w:val="24"/>
        </w:rPr>
        <w:t>.</w:t>
      </w:r>
      <w:proofErr w:type="gramEnd"/>
      <w:r w:rsidRPr="009C1C82">
        <w:rPr>
          <w:sz w:val="24"/>
          <w:szCs w:val="24"/>
        </w:rPr>
        <w:t xml:space="preserve"> 2005.”The Devil’s Confessors: Priests, Communists, Spies, and Informers.” </w:t>
      </w:r>
      <w:r w:rsidRPr="009C1C82">
        <w:rPr>
          <w:i/>
          <w:sz w:val="24"/>
          <w:szCs w:val="24"/>
        </w:rPr>
        <w:t>East Europea</w:t>
      </w:r>
      <w:r w:rsidRPr="00D1600D">
        <w:rPr>
          <w:i/>
          <w:sz w:val="24"/>
          <w:szCs w:val="24"/>
        </w:rPr>
        <w:t>n Politics and Societies</w:t>
      </w:r>
      <w:r w:rsidRPr="00D1600D">
        <w:rPr>
          <w:sz w:val="24"/>
          <w:szCs w:val="24"/>
        </w:rPr>
        <w:t xml:space="preserve"> 19, 4: 655-685.</w:t>
      </w:r>
    </w:p>
    <w:p w:rsidR="00D1600D" w:rsidRPr="00D1600D" w:rsidRDefault="00D1600D" w:rsidP="004A21DB">
      <w:pPr>
        <w:pStyle w:val="EndnoteText"/>
        <w:ind w:left="720" w:hanging="720"/>
        <w:rPr>
          <w:sz w:val="24"/>
          <w:szCs w:val="24"/>
        </w:rPr>
      </w:pPr>
      <w:proofErr w:type="gramStart"/>
      <w:r w:rsidRPr="00D1600D">
        <w:rPr>
          <w:sz w:val="24"/>
          <w:szCs w:val="24"/>
        </w:rPr>
        <w:t>Stan ,</w:t>
      </w:r>
      <w:proofErr w:type="gramEnd"/>
      <w:r w:rsidRPr="00D1600D">
        <w:rPr>
          <w:sz w:val="24"/>
          <w:szCs w:val="24"/>
        </w:rPr>
        <w:t xml:space="preserve"> Lavinia and </w:t>
      </w:r>
      <w:proofErr w:type="spellStart"/>
      <w:r w:rsidRPr="00D1600D">
        <w:rPr>
          <w:sz w:val="24"/>
          <w:szCs w:val="24"/>
        </w:rPr>
        <w:t>Nadya</w:t>
      </w:r>
      <w:proofErr w:type="spellEnd"/>
      <w:r w:rsidRPr="00D1600D">
        <w:rPr>
          <w:sz w:val="24"/>
          <w:szCs w:val="24"/>
        </w:rPr>
        <w:t xml:space="preserve"> </w:t>
      </w:r>
      <w:proofErr w:type="spellStart"/>
      <w:r w:rsidRPr="00D1600D">
        <w:rPr>
          <w:sz w:val="24"/>
          <w:szCs w:val="24"/>
        </w:rPr>
        <w:t>Nedelsky</w:t>
      </w:r>
      <w:proofErr w:type="spellEnd"/>
      <w:r w:rsidRPr="00D1600D">
        <w:rPr>
          <w:sz w:val="24"/>
          <w:szCs w:val="24"/>
        </w:rPr>
        <w:t xml:space="preserve">, eds. 2013. </w:t>
      </w:r>
      <w:r w:rsidRPr="00D1600D">
        <w:rPr>
          <w:i/>
          <w:sz w:val="24"/>
          <w:szCs w:val="24"/>
        </w:rPr>
        <w:t xml:space="preserve">Encyclopedia of Transitional Justice, </w:t>
      </w:r>
      <w:r w:rsidRPr="00D1600D">
        <w:rPr>
          <w:sz w:val="24"/>
          <w:szCs w:val="24"/>
        </w:rPr>
        <w:t>Volumes 1-3</w:t>
      </w:r>
      <w:r w:rsidRPr="00D1600D">
        <w:rPr>
          <w:i/>
          <w:sz w:val="24"/>
          <w:szCs w:val="24"/>
        </w:rPr>
        <w:t xml:space="preserve">. </w:t>
      </w:r>
      <w:r w:rsidRPr="00D1600D">
        <w:rPr>
          <w:sz w:val="24"/>
          <w:szCs w:val="24"/>
        </w:rPr>
        <w:t>Cambridge: Cambridge University Press.</w:t>
      </w:r>
    </w:p>
    <w:p w:rsidR="004A21DB" w:rsidRPr="0019640D" w:rsidRDefault="004A21DB" w:rsidP="004A21DB">
      <w:pPr>
        <w:autoSpaceDE w:val="0"/>
        <w:autoSpaceDN w:val="0"/>
        <w:adjustRightInd w:val="0"/>
        <w:spacing w:after="0" w:line="240" w:lineRule="auto"/>
        <w:ind w:left="720" w:hanging="720"/>
        <w:rPr>
          <w:rFonts w:cs="Times New Roman"/>
          <w:sz w:val="24"/>
          <w:szCs w:val="24"/>
        </w:rPr>
      </w:pPr>
      <w:proofErr w:type="gramStart"/>
      <w:r w:rsidRPr="00D1600D">
        <w:rPr>
          <w:rFonts w:cs="Times New Roman"/>
          <w:sz w:val="24"/>
          <w:szCs w:val="24"/>
        </w:rPr>
        <w:t xml:space="preserve">Travers, Suzanne and Edward </w:t>
      </w:r>
      <w:proofErr w:type="spellStart"/>
      <w:r w:rsidRPr="00D1600D">
        <w:rPr>
          <w:rFonts w:cs="Times New Roman"/>
          <w:sz w:val="24"/>
          <w:szCs w:val="24"/>
        </w:rPr>
        <w:t>Kanteri</w:t>
      </w:r>
      <w:r w:rsidRPr="009C1C82">
        <w:rPr>
          <w:rFonts w:cs="Times New Roman"/>
          <w:sz w:val="24"/>
          <w:szCs w:val="24"/>
        </w:rPr>
        <w:t>an</w:t>
      </w:r>
      <w:proofErr w:type="spellEnd"/>
      <w:r w:rsidRPr="009C1C82">
        <w:rPr>
          <w:rFonts w:cs="Times New Roman"/>
          <w:sz w:val="24"/>
          <w:szCs w:val="24"/>
        </w:rPr>
        <w:t>.</w:t>
      </w:r>
      <w:proofErr w:type="gramEnd"/>
      <w:r w:rsidRPr="009C1C82">
        <w:rPr>
          <w:rFonts w:cs="Times New Roman"/>
          <w:sz w:val="24"/>
          <w:szCs w:val="24"/>
        </w:rPr>
        <w:t xml:space="preserve"> 2001. “Casting </w:t>
      </w:r>
      <w:proofErr w:type="gramStart"/>
      <w:r w:rsidRPr="009C1C82">
        <w:rPr>
          <w:rFonts w:cs="Times New Roman"/>
          <w:sz w:val="24"/>
          <w:szCs w:val="24"/>
        </w:rPr>
        <w:t>Light</w:t>
      </w:r>
      <w:proofErr w:type="gramEnd"/>
      <w:r w:rsidRPr="009C1C82">
        <w:rPr>
          <w:rFonts w:cs="Times New Roman"/>
          <w:sz w:val="24"/>
          <w:szCs w:val="24"/>
        </w:rPr>
        <w:t xml:space="preserve"> on the Long Shadow of Romania’s Securitate.” </w:t>
      </w:r>
      <w:hyperlink r:id="rId21" w:history="1">
        <w:r w:rsidRPr="009C1C82">
          <w:rPr>
            <w:rStyle w:val="Hyperlink"/>
            <w:rFonts w:cs="Times New Roman"/>
            <w:sz w:val="24"/>
            <w:szCs w:val="24"/>
          </w:rPr>
          <w:t>http://lett.ubbcluj.ro/~echinox/caiete1/18.html</w:t>
        </w:r>
      </w:hyperlink>
      <w:r w:rsidRPr="009C1C82">
        <w:rPr>
          <w:rFonts w:cs="Times New Roman"/>
          <w:sz w:val="24"/>
          <w:szCs w:val="24"/>
        </w:rPr>
        <w:t xml:space="preserve">, accessed May 23, 2005. </w:t>
      </w:r>
    </w:p>
    <w:p w:rsidR="004A21DB" w:rsidRPr="0019640D" w:rsidRDefault="004A21DB" w:rsidP="004A21DB">
      <w:pPr>
        <w:pStyle w:val="FootnoteText"/>
        <w:ind w:left="720" w:hanging="720"/>
        <w:rPr>
          <w:sz w:val="24"/>
          <w:szCs w:val="24"/>
        </w:rPr>
      </w:pPr>
      <w:proofErr w:type="spellStart"/>
      <w:r w:rsidRPr="0019640D">
        <w:rPr>
          <w:sz w:val="24"/>
          <w:szCs w:val="24"/>
        </w:rPr>
        <w:t>Varga</w:t>
      </w:r>
      <w:proofErr w:type="spellEnd"/>
      <w:r w:rsidRPr="0019640D">
        <w:rPr>
          <w:sz w:val="24"/>
          <w:szCs w:val="24"/>
        </w:rPr>
        <w:t xml:space="preserve">, </w:t>
      </w:r>
      <w:proofErr w:type="spellStart"/>
      <w:r w:rsidRPr="0019640D">
        <w:rPr>
          <w:sz w:val="24"/>
          <w:szCs w:val="24"/>
        </w:rPr>
        <w:t>László</w:t>
      </w:r>
      <w:proofErr w:type="spellEnd"/>
      <w:r w:rsidRPr="0019640D">
        <w:rPr>
          <w:sz w:val="24"/>
          <w:szCs w:val="24"/>
        </w:rPr>
        <w:t xml:space="preserve">. 1997. “Watchers and the Watched.” </w:t>
      </w:r>
      <w:r w:rsidRPr="0019640D">
        <w:rPr>
          <w:i/>
          <w:sz w:val="24"/>
          <w:szCs w:val="24"/>
        </w:rPr>
        <w:t xml:space="preserve">The Hungarian Quarterly, </w:t>
      </w:r>
      <w:r w:rsidRPr="0019640D">
        <w:rPr>
          <w:sz w:val="24"/>
          <w:szCs w:val="24"/>
        </w:rPr>
        <w:t xml:space="preserve">38, 146: </w:t>
      </w:r>
      <w:hyperlink r:id="rId22" w:history="1">
        <w:r w:rsidRPr="0019640D">
          <w:rPr>
            <w:rStyle w:val="Hyperlink"/>
            <w:color w:val="auto"/>
            <w:sz w:val="24"/>
            <w:szCs w:val="24"/>
          </w:rPr>
          <w:t>http://www.hungarianquarterly.com/no146/p51.shtml</w:t>
        </w:r>
      </w:hyperlink>
      <w:r w:rsidRPr="0019640D">
        <w:rPr>
          <w:sz w:val="24"/>
          <w:szCs w:val="24"/>
        </w:rPr>
        <w:t>, accessed March 12, 2009.</w:t>
      </w:r>
    </w:p>
    <w:p w:rsidR="004A21DB" w:rsidRPr="009C1C82" w:rsidRDefault="00D1600D" w:rsidP="004A21DB">
      <w:pPr>
        <w:pStyle w:val="ListParagraph"/>
        <w:ind w:hanging="720"/>
      </w:pPr>
      <w:proofErr w:type="spellStart"/>
      <w:r>
        <w:t>Wezel</w:t>
      </w:r>
      <w:proofErr w:type="spellEnd"/>
      <w:r>
        <w:t xml:space="preserve">, </w:t>
      </w:r>
      <w:proofErr w:type="spellStart"/>
      <w:r>
        <w:t>Katja</w:t>
      </w:r>
      <w:proofErr w:type="spellEnd"/>
      <w:r>
        <w:t>. 2013</w:t>
      </w:r>
      <w:r w:rsidR="004A21DB" w:rsidRPr="0019640D">
        <w:t xml:space="preserve">. “Latvia.” </w:t>
      </w:r>
      <w:proofErr w:type="gramStart"/>
      <w:r w:rsidR="004A21DB" w:rsidRPr="0019640D">
        <w:t xml:space="preserve">In </w:t>
      </w:r>
      <w:r w:rsidR="004A21DB" w:rsidRPr="0019640D">
        <w:rPr>
          <w:i/>
        </w:rPr>
        <w:t xml:space="preserve">Encyclopedia of Transitional Justice, Vol. 2, </w:t>
      </w:r>
      <w:r w:rsidR="004A21DB" w:rsidRPr="0019640D">
        <w:t>eds. Stan and</w:t>
      </w:r>
      <w:r w:rsidR="004A21DB" w:rsidRPr="009C1C82">
        <w:t xml:space="preserve"> </w:t>
      </w:r>
      <w:proofErr w:type="spellStart"/>
      <w:r w:rsidR="004A21DB" w:rsidRPr="009C1C82">
        <w:t>Nedelsky</w:t>
      </w:r>
      <w:proofErr w:type="spellEnd"/>
      <w:r w:rsidR="004A21DB" w:rsidRPr="009C1C82">
        <w:t>.</w:t>
      </w:r>
      <w:proofErr w:type="gramEnd"/>
      <w:r w:rsidR="004A21DB" w:rsidRPr="009C1C82">
        <w:t xml:space="preserve"> Cambridge: Cambridge University Press: 273-279.</w:t>
      </w:r>
    </w:p>
    <w:p w:rsidR="00CE5FF9" w:rsidRPr="00670A29" w:rsidRDefault="00CE5FF9" w:rsidP="002B6D2F">
      <w:pPr>
        <w:pStyle w:val="ListParagraph"/>
        <w:spacing w:line="480" w:lineRule="auto"/>
        <w:ind w:left="0"/>
        <w:rPr>
          <w:rFonts w:eastAsia="Times New Roman"/>
          <w:color w:val="000000"/>
          <w:szCs w:val="20"/>
        </w:rPr>
      </w:pPr>
      <w:r>
        <w:rPr>
          <w:rFonts w:eastAsia="Times New Roman"/>
        </w:rPr>
        <w:br w:type="column"/>
      </w:r>
    </w:p>
    <w:tbl>
      <w:tblPr>
        <w:tblW w:w="0" w:type="auto"/>
        <w:tblBorders>
          <w:top w:val="single" w:sz="4" w:space="0" w:color="auto"/>
          <w:left w:val="single" w:sz="4" w:space="0" w:color="auto"/>
          <w:bottom w:val="single" w:sz="4" w:space="0" w:color="auto"/>
          <w:right w:val="single" w:sz="4" w:space="0" w:color="auto"/>
        </w:tblBorders>
        <w:tblLook w:val="04A0"/>
      </w:tblPr>
      <w:tblGrid>
        <w:gridCol w:w="2394"/>
        <w:gridCol w:w="2394"/>
        <w:gridCol w:w="2394"/>
        <w:gridCol w:w="2394"/>
      </w:tblGrid>
      <w:tr w:rsidR="00972FF3" w:rsidRPr="0092722F" w:rsidTr="00A277C5">
        <w:tc>
          <w:tcPr>
            <w:tcW w:w="9576" w:type="dxa"/>
            <w:gridSpan w:val="4"/>
            <w:tcBorders>
              <w:top w:val="single" w:sz="4" w:space="0" w:color="auto"/>
              <w:bottom w:val="single" w:sz="4" w:space="0" w:color="auto"/>
            </w:tcBorders>
          </w:tcPr>
          <w:p w:rsidR="00CE5FF9" w:rsidRPr="0092722F" w:rsidRDefault="00CE5FF9" w:rsidP="00CE5FF9">
            <w:pPr>
              <w:pStyle w:val="ListParagraph"/>
              <w:spacing w:after="200"/>
              <w:ind w:left="0"/>
              <w:contextualSpacing/>
              <w:rPr>
                <w:b/>
              </w:rPr>
            </w:pPr>
            <w:r>
              <w:rPr>
                <w:rFonts w:eastAsia="Times New Roman"/>
              </w:rPr>
              <w:br w:type="column"/>
            </w:r>
            <w:r w:rsidR="00F045C8">
              <w:rPr>
                <w:b/>
              </w:rPr>
              <w:br w:type="column"/>
            </w:r>
            <w:r w:rsidR="00972FF3" w:rsidRPr="0092722F">
              <w:rPr>
                <w:b/>
              </w:rPr>
              <w:t xml:space="preserve">Table 1: </w:t>
            </w:r>
            <w:r w:rsidR="002C4717" w:rsidRPr="0092722F">
              <w:rPr>
                <w:b/>
              </w:rPr>
              <w:t xml:space="preserve">Bulgarian </w:t>
            </w:r>
            <w:proofErr w:type="spellStart"/>
            <w:r w:rsidR="00972FF3" w:rsidRPr="0092722F">
              <w:rPr>
                <w:b/>
              </w:rPr>
              <w:t>Kostadinov</w:t>
            </w:r>
            <w:proofErr w:type="spellEnd"/>
            <w:r w:rsidR="00972FF3" w:rsidRPr="0092722F">
              <w:rPr>
                <w:b/>
              </w:rPr>
              <w:t xml:space="preserve"> Commission file reviews by category</w:t>
            </w:r>
          </w:p>
        </w:tc>
      </w:tr>
      <w:tr w:rsidR="00F045C8" w:rsidRPr="0092722F" w:rsidTr="00F045C8">
        <w:tc>
          <w:tcPr>
            <w:tcW w:w="4788" w:type="dxa"/>
            <w:gridSpan w:val="2"/>
            <w:tcBorders>
              <w:top w:val="single" w:sz="4" w:space="0" w:color="auto"/>
              <w:bottom w:val="single" w:sz="4" w:space="0" w:color="auto"/>
              <w:right w:val="single" w:sz="4" w:space="0" w:color="auto"/>
            </w:tcBorders>
          </w:tcPr>
          <w:p w:rsidR="00F045C8" w:rsidRPr="0092722F" w:rsidRDefault="00F045C8" w:rsidP="007B50B0">
            <w:pPr>
              <w:pStyle w:val="ListParagraph"/>
              <w:ind w:left="0"/>
              <w:contextualSpacing/>
              <w:rPr>
                <w:b/>
                <w:sz w:val="22"/>
                <w:szCs w:val="22"/>
              </w:rPr>
            </w:pPr>
            <w:r w:rsidRPr="0092722F">
              <w:rPr>
                <w:b/>
                <w:sz w:val="22"/>
                <w:szCs w:val="22"/>
              </w:rPr>
              <w:t>Persons registered for elections—Verification (Article 26, Para.1)</w:t>
            </w:r>
          </w:p>
        </w:tc>
        <w:tc>
          <w:tcPr>
            <w:tcW w:w="4788" w:type="dxa"/>
            <w:gridSpan w:val="2"/>
            <w:tcBorders>
              <w:top w:val="single" w:sz="4" w:space="0" w:color="auto"/>
              <w:left w:val="single" w:sz="4" w:space="0" w:color="auto"/>
              <w:bottom w:val="single" w:sz="4" w:space="0" w:color="auto"/>
            </w:tcBorders>
          </w:tcPr>
          <w:p w:rsidR="00F045C8" w:rsidRPr="0092722F" w:rsidRDefault="00F045C8" w:rsidP="007B50B0">
            <w:pPr>
              <w:pStyle w:val="ListParagraph"/>
              <w:ind w:left="0"/>
              <w:contextualSpacing/>
              <w:rPr>
                <w:b/>
                <w:sz w:val="22"/>
                <w:szCs w:val="22"/>
              </w:rPr>
            </w:pPr>
            <w:r w:rsidRPr="0092722F">
              <w:rPr>
                <w:b/>
                <w:sz w:val="22"/>
                <w:szCs w:val="22"/>
              </w:rPr>
              <w:t>Persons in Public Positions --Verification (Article 21, Para 1, Sections 1-2)</w:t>
            </w:r>
          </w:p>
        </w:tc>
      </w:tr>
      <w:tr w:rsidR="00F045C8" w:rsidRPr="0092722F" w:rsidTr="00F045C8">
        <w:tc>
          <w:tcPr>
            <w:tcW w:w="2394" w:type="dxa"/>
            <w:tcBorders>
              <w:top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Year 2007</w:t>
            </w:r>
          </w:p>
        </w:tc>
        <w:tc>
          <w:tcPr>
            <w:tcW w:w="2394" w:type="dxa"/>
            <w:tcBorders>
              <w:top w:val="single" w:sz="4" w:space="0" w:color="auto"/>
              <w:righ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15,700</w:t>
            </w:r>
          </w:p>
        </w:tc>
        <w:tc>
          <w:tcPr>
            <w:tcW w:w="2394" w:type="dxa"/>
            <w:tcBorders>
              <w:top w:val="single" w:sz="4" w:space="0" w:color="auto"/>
              <w:lef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Year 2007</w:t>
            </w:r>
          </w:p>
        </w:tc>
        <w:tc>
          <w:tcPr>
            <w:tcW w:w="2394" w:type="dxa"/>
            <w:tcBorders>
              <w:top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2,311</w:t>
            </w:r>
          </w:p>
        </w:tc>
      </w:tr>
      <w:tr w:rsidR="00F045C8" w:rsidRPr="0092722F" w:rsidTr="00F045C8">
        <w:tc>
          <w:tcPr>
            <w:tcW w:w="2394" w:type="dxa"/>
          </w:tcPr>
          <w:p w:rsidR="00F045C8" w:rsidRPr="0092722F" w:rsidRDefault="00F045C8" w:rsidP="007B50B0">
            <w:pPr>
              <w:pStyle w:val="ListParagraph"/>
              <w:ind w:left="0"/>
              <w:contextualSpacing/>
              <w:jc w:val="center"/>
              <w:rPr>
                <w:sz w:val="22"/>
                <w:szCs w:val="22"/>
              </w:rPr>
            </w:pPr>
            <w:r w:rsidRPr="0092722F">
              <w:rPr>
                <w:sz w:val="22"/>
                <w:szCs w:val="22"/>
              </w:rPr>
              <w:t>2008</w:t>
            </w:r>
          </w:p>
        </w:tc>
        <w:tc>
          <w:tcPr>
            <w:tcW w:w="2394" w:type="dxa"/>
            <w:tcBorders>
              <w:righ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30, 829</w:t>
            </w:r>
          </w:p>
        </w:tc>
        <w:tc>
          <w:tcPr>
            <w:tcW w:w="2394" w:type="dxa"/>
            <w:tcBorders>
              <w:lef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2008</w:t>
            </w:r>
          </w:p>
        </w:tc>
        <w:tc>
          <w:tcPr>
            <w:tcW w:w="2394" w:type="dxa"/>
          </w:tcPr>
          <w:p w:rsidR="00F045C8" w:rsidRPr="0092722F" w:rsidRDefault="00F045C8" w:rsidP="007B50B0">
            <w:pPr>
              <w:pStyle w:val="ListParagraph"/>
              <w:ind w:left="0"/>
              <w:contextualSpacing/>
              <w:jc w:val="center"/>
              <w:rPr>
                <w:sz w:val="22"/>
                <w:szCs w:val="22"/>
              </w:rPr>
            </w:pPr>
            <w:r w:rsidRPr="0092722F">
              <w:rPr>
                <w:sz w:val="22"/>
                <w:szCs w:val="22"/>
              </w:rPr>
              <w:t>6,641</w:t>
            </w:r>
          </w:p>
        </w:tc>
      </w:tr>
      <w:tr w:rsidR="00F045C8" w:rsidRPr="0092722F" w:rsidTr="00F045C8">
        <w:tc>
          <w:tcPr>
            <w:tcW w:w="2394" w:type="dxa"/>
          </w:tcPr>
          <w:p w:rsidR="00F045C8" w:rsidRPr="0092722F" w:rsidRDefault="00F045C8" w:rsidP="007B50B0">
            <w:pPr>
              <w:pStyle w:val="ListParagraph"/>
              <w:ind w:left="0"/>
              <w:contextualSpacing/>
              <w:jc w:val="center"/>
              <w:rPr>
                <w:sz w:val="22"/>
                <w:szCs w:val="22"/>
              </w:rPr>
            </w:pPr>
            <w:r w:rsidRPr="0092722F">
              <w:rPr>
                <w:sz w:val="22"/>
                <w:szCs w:val="22"/>
              </w:rPr>
              <w:t>2009</w:t>
            </w:r>
          </w:p>
        </w:tc>
        <w:tc>
          <w:tcPr>
            <w:tcW w:w="2394" w:type="dxa"/>
            <w:tcBorders>
              <w:righ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3,486</w:t>
            </w:r>
          </w:p>
        </w:tc>
        <w:tc>
          <w:tcPr>
            <w:tcW w:w="2394" w:type="dxa"/>
            <w:tcBorders>
              <w:lef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2009</w:t>
            </w:r>
          </w:p>
        </w:tc>
        <w:tc>
          <w:tcPr>
            <w:tcW w:w="2394" w:type="dxa"/>
          </w:tcPr>
          <w:p w:rsidR="00F045C8" w:rsidRPr="0092722F" w:rsidRDefault="00F045C8" w:rsidP="007B50B0">
            <w:pPr>
              <w:pStyle w:val="ListParagraph"/>
              <w:ind w:left="0"/>
              <w:contextualSpacing/>
              <w:jc w:val="center"/>
              <w:rPr>
                <w:sz w:val="22"/>
                <w:szCs w:val="22"/>
              </w:rPr>
            </w:pPr>
            <w:r w:rsidRPr="0092722F">
              <w:rPr>
                <w:sz w:val="22"/>
                <w:szCs w:val="22"/>
              </w:rPr>
              <w:t>8,443</w:t>
            </w:r>
          </w:p>
        </w:tc>
      </w:tr>
      <w:tr w:rsidR="00F045C8" w:rsidRPr="0092722F" w:rsidTr="00F045C8">
        <w:tc>
          <w:tcPr>
            <w:tcW w:w="2394" w:type="dxa"/>
          </w:tcPr>
          <w:p w:rsidR="00F045C8" w:rsidRPr="0092722F" w:rsidRDefault="00F045C8" w:rsidP="007B50B0">
            <w:pPr>
              <w:pStyle w:val="ListParagraph"/>
              <w:ind w:left="0"/>
              <w:contextualSpacing/>
              <w:jc w:val="center"/>
              <w:rPr>
                <w:sz w:val="22"/>
                <w:szCs w:val="22"/>
              </w:rPr>
            </w:pPr>
            <w:r w:rsidRPr="0092722F">
              <w:rPr>
                <w:sz w:val="22"/>
                <w:szCs w:val="22"/>
              </w:rPr>
              <w:t>2010</w:t>
            </w:r>
          </w:p>
        </w:tc>
        <w:tc>
          <w:tcPr>
            <w:tcW w:w="2394" w:type="dxa"/>
            <w:tcBorders>
              <w:righ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56</w:t>
            </w:r>
          </w:p>
        </w:tc>
        <w:tc>
          <w:tcPr>
            <w:tcW w:w="2394" w:type="dxa"/>
            <w:tcBorders>
              <w:lef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2010</w:t>
            </w:r>
          </w:p>
        </w:tc>
        <w:tc>
          <w:tcPr>
            <w:tcW w:w="2394" w:type="dxa"/>
          </w:tcPr>
          <w:p w:rsidR="00F045C8" w:rsidRPr="0092722F" w:rsidRDefault="00F045C8" w:rsidP="007B50B0">
            <w:pPr>
              <w:pStyle w:val="ListParagraph"/>
              <w:ind w:left="0"/>
              <w:contextualSpacing/>
              <w:jc w:val="center"/>
              <w:rPr>
                <w:sz w:val="22"/>
                <w:szCs w:val="22"/>
              </w:rPr>
            </w:pPr>
            <w:r w:rsidRPr="0092722F">
              <w:rPr>
                <w:sz w:val="22"/>
                <w:szCs w:val="22"/>
              </w:rPr>
              <w:t>11,810</w:t>
            </w:r>
          </w:p>
        </w:tc>
      </w:tr>
      <w:tr w:rsidR="00F045C8" w:rsidRPr="0092722F" w:rsidTr="001805A1">
        <w:tc>
          <w:tcPr>
            <w:tcW w:w="2394" w:type="dxa"/>
            <w:tcBorders>
              <w:bottom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2011</w:t>
            </w:r>
          </w:p>
        </w:tc>
        <w:tc>
          <w:tcPr>
            <w:tcW w:w="2394" w:type="dxa"/>
            <w:tcBorders>
              <w:bottom w:val="single" w:sz="4" w:space="0" w:color="auto"/>
              <w:right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13,764</w:t>
            </w:r>
          </w:p>
        </w:tc>
        <w:tc>
          <w:tcPr>
            <w:tcW w:w="2394" w:type="dxa"/>
            <w:tcBorders>
              <w:left w:val="single" w:sz="4" w:space="0" w:color="auto"/>
              <w:bottom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2011</w:t>
            </w:r>
          </w:p>
        </w:tc>
        <w:tc>
          <w:tcPr>
            <w:tcW w:w="2394" w:type="dxa"/>
            <w:tcBorders>
              <w:bottom w:val="single" w:sz="4" w:space="0" w:color="auto"/>
            </w:tcBorders>
          </w:tcPr>
          <w:p w:rsidR="00F045C8" w:rsidRPr="0092722F" w:rsidRDefault="00F045C8" w:rsidP="007B50B0">
            <w:pPr>
              <w:pStyle w:val="ListParagraph"/>
              <w:ind w:left="0"/>
              <w:contextualSpacing/>
              <w:jc w:val="center"/>
              <w:rPr>
                <w:sz w:val="22"/>
                <w:szCs w:val="22"/>
              </w:rPr>
            </w:pPr>
            <w:r w:rsidRPr="0092722F">
              <w:rPr>
                <w:sz w:val="22"/>
                <w:szCs w:val="22"/>
              </w:rPr>
              <w:t>12,593</w:t>
            </w:r>
          </w:p>
        </w:tc>
      </w:tr>
      <w:tr w:rsidR="00F045C8" w:rsidRPr="0092722F" w:rsidTr="001805A1">
        <w:tc>
          <w:tcPr>
            <w:tcW w:w="9576" w:type="dxa"/>
            <w:gridSpan w:val="4"/>
            <w:tcBorders>
              <w:top w:val="single" w:sz="4" w:space="0" w:color="auto"/>
              <w:bottom w:val="single" w:sz="4" w:space="0" w:color="auto"/>
            </w:tcBorders>
          </w:tcPr>
          <w:p w:rsidR="00F045C8" w:rsidRPr="0092722F" w:rsidRDefault="00F045C8" w:rsidP="00F045C8">
            <w:pPr>
              <w:pStyle w:val="FootnoteText"/>
            </w:pPr>
            <w:r w:rsidRPr="0092722F">
              <w:rPr>
                <w:b/>
              </w:rPr>
              <w:t>Source</w:t>
            </w:r>
            <w:r w:rsidRPr="0092722F">
              <w:t>: Bulgarian Dossier Commission, Summary of Activities 5 April 2007-1 December 2011, http://www.comdos.bg/Доклади_пред_Народното_събрание.</w:t>
            </w:r>
          </w:p>
        </w:tc>
      </w:tr>
    </w:tbl>
    <w:p w:rsidR="00FD1C2B" w:rsidRDefault="00FD1C2B" w:rsidP="00FD1C2B">
      <w:pPr>
        <w:spacing w:after="0" w:line="480" w:lineRule="auto"/>
        <w:ind w:firstLine="720"/>
        <w:jc w:val="both"/>
        <w:rPr>
          <w:b/>
          <w:sz w:val="22"/>
          <w:szCs w:val="22"/>
        </w:rPr>
      </w:pPr>
    </w:p>
    <w:p w:rsidR="00CE5FF9" w:rsidRDefault="00CE5FF9" w:rsidP="00FD1C2B">
      <w:pPr>
        <w:spacing w:after="0" w:line="480" w:lineRule="auto"/>
        <w:ind w:firstLine="720"/>
        <w:jc w:val="both"/>
        <w:rPr>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078"/>
        <w:gridCol w:w="1620"/>
        <w:gridCol w:w="2340"/>
        <w:gridCol w:w="1890"/>
      </w:tblGrid>
      <w:tr w:rsidR="00972FF3" w:rsidRPr="0092722F" w:rsidTr="00A277C5">
        <w:tc>
          <w:tcPr>
            <w:tcW w:w="8928" w:type="dxa"/>
            <w:gridSpan w:val="4"/>
            <w:tcBorders>
              <w:top w:val="single" w:sz="4" w:space="0" w:color="auto"/>
              <w:bottom w:val="single" w:sz="4" w:space="0" w:color="auto"/>
            </w:tcBorders>
          </w:tcPr>
          <w:p w:rsidR="00972FF3" w:rsidRPr="0092722F" w:rsidRDefault="00A461DC" w:rsidP="00CE5FF9">
            <w:pPr>
              <w:pStyle w:val="ListParagraph"/>
              <w:spacing w:after="200"/>
              <w:ind w:left="0"/>
              <w:contextualSpacing/>
              <w:rPr>
                <w:b/>
                <w:sz w:val="22"/>
                <w:szCs w:val="22"/>
              </w:rPr>
            </w:pPr>
            <w:r w:rsidRPr="0092722F">
              <w:rPr>
                <w:b/>
              </w:rPr>
              <w:t>Table 2</w:t>
            </w:r>
            <w:r w:rsidR="00972FF3" w:rsidRPr="0092722F">
              <w:rPr>
                <w:b/>
              </w:rPr>
              <w:t xml:space="preserve">: </w:t>
            </w:r>
            <w:r w:rsidRPr="0092722F">
              <w:rPr>
                <w:b/>
              </w:rPr>
              <w:t xml:space="preserve"> </w:t>
            </w:r>
            <w:r w:rsidR="00C07B41" w:rsidRPr="0092722F">
              <w:rPr>
                <w:b/>
              </w:rPr>
              <w:t>Bulgarian Dossier Commission</w:t>
            </w:r>
            <w:r w:rsidRPr="0092722F">
              <w:rPr>
                <w:b/>
              </w:rPr>
              <w:t>’s Public Disclosure Activities</w:t>
            </w:r>
          </w:p>
        </w:tc>
      </w:tr>
      <w:tr w:rsidR="00644025" w:rsidRPr="0092722F" w:rsidTr="001805A1">
        <w:tc>
          <w:tcPr>
            <w:tcW w:w="3078" w:type="dxa"/>
            <w:tcBorders>
              <w:top w:val="single" w:sz="4" w:space="0" w:color="auto"/>
              <w:bottom w:val="single" w:sz="4" w:space="0" w:color="auto"/>
              <w:right w:val="single" w:sz="4" w:space="0" w:color="auto"/>
            </w:tcBorders>
          </w:tcPr>
          <w:p w:rsidR="00644025" w:rsidRPr="0092722F" w:rsidRDefault="00A461DC" w:rsidP="007B50B0">
            <w:pPr>
              <w:pStyle w:val="ListParagraph"/>
              <w:ind w:left="0"/>
              <w:contextualSpacing/>
              <w:jc w:val="center"/>
              <w:rPr>
                <w:b/>
                <w:sz w:val="22"/>
                <w:szCs w:val="22"/>
              </w:rPr>
            </w:pPr>
            <w:r w:rsidRPr="0092722F">
              <w:rPr>
                <w:b/>
                <w:sz w:val="22"/>
                <w:szCs w:val="22"/>
              </w:rPr>
              <w:t>Period</w:t>
            </w:r>
          </w:p>
        </w:tc>
        <w:tc>
          <w:tcPr>
            <w:tcW w:w="1620" w:type="dxa"/>
            <w:tcBorders>
              <w:top w:val="single" w:sz="4" w:space="0" w:color="auto"/>
              <w:left w:val="single" w:sz="4" w:space="0" w:color="auto"/>
              <w:bottom w:val="single" w:sz="4" w:space="0" w:color="auto"/>
              <w:right w:val="single" w:sz="4" w:space="0" w:color="auto"/>
            </w:tcBorders>
          </w:tcPr>
          <w:p w:rsidR="00644025" w:rsidRPr="0092722F" w:rsidRDefault="00644025" w:rsidP="00644025">
            <w:pPr>
              <w:pStyle w:val="ListParagraph"/>
              <w:ind w:left="0"/>
              <w:contextualSpacing/>
              <w:jc w:val="center"/>
              <w:rPr>
                <w:b/>
                <w:sz w:val="22"/>
                <w:szCs w:val="22"/>
              </w:rPr>
            </w:pPr>
            <w:r w:rsidRPr="0092722F">
              <w:rPr>
                <w:b/>
                <w:sz w:val="22"/>
                <w:szCs w:val="22"/>
              </w:rPr>
              <w:t>Files reviewed</w:t>
            </w:r>
          </w:p>
        </w:tc>
        <w:tc>
          <w:tcPr>
            <w:tcW w:w="2340" w:type="dxa"/>
            <w:tcBorders>
              <w:top w:val="single" w:sz="4" w:space="0" w:color="auto"/>
              <w:left w:val="single" w:sz="4" w:space="0" w:color="auto"/>
              <w:bottom w:val="single" w:sz="4" w:space="0" w:color="auto"/>
              <w:right w:val="single" w:sz="4" w:space="0" w:color="auto"/>
            </w:tcBorders>
          </w:tcPr>
          <w:p w:rsidR="00644025" w:rsidRPr="0092722F" w:rsidRDefault="00644025" w:rsidP="007B50B0">
            <w:pPr>
              <w:pStyle w:val="ListParagraph"/>
              <w:ind w:left="0"/>
              <w:contextualSpacing/>
              <w:jc w:val="center"/>
              <w:rPr>
                <w:b/>
                <w:sz w:val="22"/>
                <w:szCs w:val="22"/>
              </w:rPr>
            </w:pPr>
            <w:r w:rsidRPr="0092722F">
              <w:rPr>
                <w:b/>
                <w:sz w:val="22"/>
                <w:szCs w:val="22"/>
              </w:rPr>
              <w:t>Collaboration</w:t>
            </w:r>
          </w:p>
          <w:p w:rsidR="00644025" w:rsidRPr="0092722F" w:rsidRDefault="00644025" w:rsidP="007B50B0">
            <w:pPr>
              <w:pStyle w:val="ListParagraph"/>
              <w:ind w:left="0"/>
              <w:contextualSpacing/>
              <w:jc w:val="center"/>
              <w:rPr>
                <w:b/>
                <w:sz w:val="22"/>
                <w:szCs w:val="22"/>
              </w:rPr>
            </w:pPr>
            <w:r w:rsidRPr="0092722F">
              <w:rPr>
                <w:b/>
                <w:sz w:val="22"/>
                <w:szCs w:val="22"/>
              </w:rPr>
              <w:t>Found</w:t>
            </w:r>
          </w:p>
        </w:tc>
        <w:tc>
          <w:tcPr>
            <w:tcW w:w="1890" w:type="dxa"/>
            <w:tcBorders>
              <w:top w:val="single" w:sz="4" w:space="0" w:color="auto"/>
              <w:left w:val="single" w:sz="4" w:space="0" w:color="auto"/>
              <w:bottom w:val="single" w:sz="4" w:space="0" w:color="auto"/>
            </w:tcBorders>
          </w:tcPr>
          <w:p w:rsidR="00644025" w:rsidRPr="0092722F" w:rsidRDefault="00644025" w:rsidP="007B50B0">
            <w:pPr>
              <w:pStyle w:val="ListParagraph"/>
              <w:ind w:left="0"/>
              <w:contextualSpacing/>
              <w:jc w:val="center"/>
              <w:rPr>
                <w:b/>
                <w:sz w:val="22"/>
                <w:szCs w:val="22"/>
              </w:rPr>
            </w:pPr>
            <w:r w:rsidRPr="0092722F">
              <w:rPr>
                <w:b/>
                <w:sz w:val="22"/>
                <w:szCs w:val="22"/>
              </w:rPr>
              <w:t>Files Actually</w:t>
            </w:r>
          </w:p>
          <w:p w:rsidR="00644025" w:rsidRPr="0092722F" w:rsidRDefault="00644025" w:rsidP="007B50B0">
            <w:pPr>
              <w:pStyle w:val="ListParagraph"/>
              <w:ind w:left="0"/>
              <w:contextualSpacing/>
              <w:jc w:val="center"/>
              <w:rPr>
                <w:b/>
                <w:sz w:val="22"/>
                <w:szCs w:val="22"/>
              </w:rPr>
            </w:pPr>
            <w:r w:rsidRPr="0092722F">
              <w:rPr>
                <w:b/>
                <w:sz w:val="22"/>
                <w:szCs w:val="22"/>
              </w:rPr>
              <w:t>Publicized</w:t>
            </w:r>
          </w:p>
        </w:tc>
      </w:tr>
      <w:tr w:rsidR="00644025" w:rsidRPr="0092722F" w:rsidTr="001805A1">
        <w:tc>
          <w:tcPr>
            <w:tcW w:w="3078" w:type="dxa"/>
            <w:tcBorders>
              <w:top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20 July -20 Dec 2010</w:t>
            </w:r>
          </w:p>
        </w:tc>
        <w:tc>
          <w:tcPr>
            <w:tcW w:w="1620" w:type="dxa"/>
            <w:tcBorders>
              <w:top w:val="single" w:sz="4" w:space="0" w:color="auto"/>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4,763</w:t>
            </w:r>
          </w:p>
        </w:tc>
        <w:tc>
          <w:tcPr>
            <w:tcW w:w="2340" w:type="dxa"/>
            <w:tcBorders>
              <w:top w:val="single" w:sz="4" w:space="0" w:color="auto"/>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777</w:t>
            </w:r>
          </w:p>
        </w:tc>
        <w:tc>
          <w:tcPr>
            <w:tcW w:w="1890" w:type="dxa"/>
            <w:tcBorders>
              <w:top w:val="single" w:sz="4" w:space="0" w:color="auto"/>
              <w:lef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683</w:t>
            </w:r>
          </w:p>
        </w:tc>
      </w:tr>
      <w:tr w:rsidR="00644025" w:rsidRPr="0092722F" w:rsidTr="001805A1">
        <w:tc>
          <w:tcPr>
            <w:tcW w:w="3078" w:type="dxa"/>
            <w:tcBorders>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20 Dec 2010-20 July 2011</w:t>
            </w:r>
          </w:p>
        </w:tc>
        <w:tc>
          <w:tcPr>
            <w:tcW w:w="1620" w:type="dxa"/>
            <w:tcBorders>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10,914</w:t>
            </w:r>
          </w:p>
        </w:tc>
        <w:tc>
          <w:tcPr>
            <w:tcW w:w="2340" w:type="dxa"/>
            <w:tcBorders>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921</w:t>
            </w:r>
          </w:p>
        </w:tc>
        <w:tc>
          <w:tcPr>
            <w:tcW w:w="1890" w:type="dxa"/>
            <w:tcBorders>
              <w:lef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771</w:t>
            </w:r>
          </w:p>
        </w:tc>
      </w:tr>
      <w:tr w:rsidR="00644025" w:rsidRPr="0092722F" w:rsidTr="001805A1">
        <w:tc>
          <w:tcPr>
            <w:tcW w:w="3078" w:type="dxa"/>
            <w:tcBorders>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1 July - 19 Dec 2011</w:t>
            </w:r>
          </w:p>
        </w:tc>
        <w:tc>
          <w:tcPr>
            <w:tcW w:w="1620" w:type="dxa"/>
            <w:tcBorders>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22,602</w:t>
            </w:r>
          </w:p>
        </w:tc>
        <w:tc>
          <w:tcPr>
            <w:tcW w:w="2340" w:type="dxa"/>
            <w:tcBorders>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790</w:t>
            </w:r>
          </w:p>
        </w:tc>
        <w:tc>
          <w:tcPr>
            <w:tcW w:w="1890" w:type="dxa"/>
            <w:tcBorders>
              <w:lef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648</w:t>
            </w:r>
          </w:p>
        </w:tc>
      </w:tr>
      <w:tr w:rsidR="00644025" w:rsidRPr="0092722F" w:rsidTr="001805A1">
        <w:tc>
          <w:tcPr>
            <w:tcW w:w="3078" w:type="dxa"/>
            <w:tcBorders>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 xml:space="preserve"> 19 Dec 2011- 1 July 2012</w:t>
            </w:r>
          </w:p>
        </w:tc>
        <w:tc>
          <w:tcPr>
            <w:tcW w:w="1620" w:type="dxa"/>
            <w:tcBorders>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14, 048</w:t>
            </w:r>
          </w:p>
        </w:tc>
        <w:tc>
          <w:tcPr>
            <w:tcW w:w="2340" w:type="dxa"/>
            <w:tcBorders>
              <w:left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495</w:t>
            </w:r>
          </w:p>
        </w:tc>
        <w:tc>
          <w:tcPr>
            <w:tcW w:w="1890" w:type="dxa"/>
            <w:tcBorders>
              <w:lef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426</w:t>
            </w:r>
          </w:p>
        </w:tc>
      </w:tr>
      <w:tr w:rsidR="00644025" w:rsidRPr="0092722F" w:rsidTr="001805A1">
        <w:tc>
          <w:tcPr>
            <w:tcW w:w="3078" w:type="dxa"/>
            <w:tcBorders>
              <w:bottom w:val="single" w:sz="4" w:space="0" w:color="auto"/>
              <w:right w:val="single" w:sz="4" w:space="0" w:color="auto"/>
            </w:tcBorders>
          </w:tcPr>
          <w:p w:rsidR="00644025" w:rsidRPr="0092722F" w:rsidRDefault="00553F9A" w:rsidP="007B50B0">
            <w:pPr>
              <w:pStyle w:val="ListParagraph"/>
              <w:ind w:left="0"/>
              <w:contextualSpacing/>
              <w:jc w:val="center"/>
              <w:rPr>
                <w:sz w:val="22"/>
                <w:szCs w:val="22"/>
              </w:rPr>
            </w:pPr>
            <w:r w:rsidRPr="0092722F">
              <w:rPr>
                <w:sz w:val="22"/>
                <w:szCs w:val="22"/>
              </w:rPr>
              <w:t xml:space="preserve">1 July-1 Dec </w:t>
            </w:r>
            <w:r w:rsidR="00644025" w:rsidRPr="0092722F">
              <w:rPr>
                <w:sz w:val="22"/>
                <w:szCs w:val="22"/>
              </w:rPr>
              <w:t>2012</w:t>
            </w:r>
          </w:p>
        </w:tc>
        <w:tc>
          <w:tcPr>
            <w:tcW w:w="1620" w:type="dxa"/>
            <w:tcBorders>
              <w:left w:val="single" w:sz="4" w:space="0" w:color="auto"/>
              <w:bottom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20, 274</w:t>
            </w:r>
          </w:p>
        </w:tc>
        <w:tc>
          <w:tcPr>
            <w:tcW w:w="2340" w:type="dxa"/>
            <w:tcBorders>
              <w:left w:val="single" w:sz="4" w:space="0" w:color="auto"/>
              <w:bottom w:val="single" w:sz="4" w:space="0" w:color="auto"/>
              <w:right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650</w:t>
            </w:r>
          </w:p>
        </w:tc>
        <w:tc>
          <w:tcPr>
            <w:tcW w:w="1890" w:type="dxa"/>
            <w:tcBorders>
              <w:left w:val="single" w:sz="4" w:space="0" w:color="auto"/>
              <w:bottom w:val="single" w:sz="4" w:space="0" w:color="auto"/>
            </w:tcBorders>
          </w:tcPr>
          <w:p w:rsidR="00644025" w:rsidRPr="0092722F" w:rsidRDefault="00644025" w:rsidP="007B50B0">
            <w:pPr>
              <w:pStyle w:val="ListParagraph"/>
              <w:ind w:left="0"/>
              <w:contextualSpacing/>
              <w:jc w:val="center"/>
              <w:rPr>
                <w:sz w:val="22"/>
                <w:szCs w:val="22"/>
              </w:rPr>
            </w:pPr>
            <w:r w:rsidRPr="0092722F">
              <w:rPr>
                <w:sz w:val="22"/>
                <w:szCs w:val="22"/>
              </w:rPr>
              <w:t>603</w:t>
            </w:r>
          </w:p>
        </w:tc>
      </w:tr>
      <w:tr w:rsidR="00644025" w:rsidRPr="0092722F" w:rsidTr="001805A1">
        <w:tc>
          <w:tcPr>
            <w:tcW w:w="8928" w:type="dxa"/>
            <w:gridSpan w:val="4"/>
            <w:tcBorders>
              <w:top w:val="single" w:sz="4" w:space="0" w:color="auto"/>
              <w:bottom w:val="single" w:sz="4" w:space="0" w:color="auto"/>
            </w:tcBorders>
          </w:tcPr>
          <w:p w:rsidR="00644025" w:rsidRPr="0092722F" w:rsidRDefault="00644025" w:rsidP="00644025">
            <w:pPr>
              <w:pStyle w:val="FootnoteText"/>
            </w:pPr>
            <w:r w:rsidRPr="0092722F">
              <w:rPr>
                <w:b/>
              </w:rPr>
              <w:t xml:space="preserve">Source: </w:t>
            </w:r>
            <w:r w:rsidRPr="0092722F">
              <w:t xml:space="preserve">Compiled from various annual reports by the Dossier Commission, </w:t>
            </w:r>
            <w:hyperlink r:id="rId23" w:history="1">
              <w:r w:rsidRPr="0092722F">
                <w:rPr>
                  <w:rStyle w:val="Hyperlink"/>
                </w:rPr>
                <w:t>http://www.comdos.bg/Доклади_пред_Народното_събрание</w:t>
              </w:r>
            </w:hyperlink>
            <w:r w:rsidRPr="0092722F">
              <w:t>, last access August 18, 2013; and Dossier Commission Reports (</w:t>
            </w:r>
            <w:proofErr w:type="spellStart"/>
            <w:r w:rsidRPr="0092722F">
              <w:t>Dokladi</w:t>
            </w:r>
            <w:proofErr w:type="spellEnd"/>
            <w:r w:rsidRPr="0092722F">
              <w:t xml:space="preserve"> </w:t>
            </w:r>
            <w:proofErr w:type="spellStart"/>
            <w:r w:rsidRPr="0092722F">
              <w:t>pred</w:t>
            </w:r>
            <w:proofErr w:type="spellEnd"/>
            <w:r w:rsidRPr="0092722F">
              <w:t xml:space="preserve"> </w:t>
            </w:r>
            <w:proofErr w:type="spellStart"/>
            <w:r w:rsidRPr="0092722F">
              <w:t>Narodnoto</w:t>
            </w:r>
            <w:proofErr w:type="spellEnd"/>
            <w:r w:rsidRPr="0092722F">
              <w:t xml:space="preserve"> </w:t>
            </w:r>
            <w:proofErr w:type="spellStart"/>
            <w:r w:rsidRPr="0092722F">
              <w:t>sbranie</w:t>
            </w:r>
            <w:proofErr w:type="spellEnd"/>
            <w:r w:rsidRPr="0092722F">
              <w:t xml:space="preserve">) </w:t>
            </w:r>
            <w:hyperlink r:id="rId24" w:history="1">
              <w:r w:rsidRPr="0092722F">
                <w:rPr>
                  <w:rStyle w:val="Hyperlink"/>
                </w:rPr>
                <w:t>http://www.comdos.bg/Доклади_пред_Народното_събрание</w:t>
              </w:r>
            </w:hyperlink>
            <w:r w:rsidRPr="0092722F">
              <w:t>.</w:t>
            </w:r>
          </w:p>
        </w:tc>
      </w:tr>
    </w:tbl>
    <w:p w:rsidR="00644025" w:rsidRDefault="00644025" w:rsidP="00644025">
      <w:pPr>
        <w:pStyle w:val="ListParagraph"/>
        <w:ind w:left="0"/>
        <w:contextualSpacing/>
        <w:rPr>
          <w:b/>
          <w:sz w:val="22"/>
          <w:szCs w:val="22"/>
        </w:rPr>
      </w:pPr>
    </w:p>
    <w:p w:rsidR="002C4717" w:rsidRDefault="002C4717" w:rsidP="00644025">
      <w:pPr>
        <w:pStyle w:val="ListParagraph"/>
        <w:ind w:left="0"/>
        <w:contextualSpacing/>
        <w:rPr>
          <w:b/>
          <w:sz w:val="22"/>
          <w:szCs w:val="22"/>
        </w:rPr>
      </w:pPr>
    </w:p>
    <w:p w:rsidR="00CE5FF9" w:rsidRPr="0092722F" w:rsidRDefault="00CE5FF9" w:rsidP="00644025">
      <w:pPr>
        <w:pStyle w:val="ListParagraph"/>
        <w:ind w:left="0"/>
        <w:contextualSpacing/>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98"/>
        <w:gridCol w:w="3330"/>
        <w:gridCol w:w="4248"/>
      </w:tblGrid>
      <w:tr w:rsidR="00972FF3" w:rsidRPr="0092722F" w:rsidTr="00A277C5">
        <w:tc>
          <w:tcPr>
            <w:tcW w:w="9576" w:type="dxa"/>
            <w:gridSpan w:val="3"/>
            <w:tcBorders>
              <w:top w:val="single" w:sz="4" w:space="0" w:color="auto"/>
              <w:bottom w:val="single" w:sz="4" w:space="0" w:color="auto"/>
            </w:tcBorders>
          </w:tcPr>
          <w:p w:rsidR="00972FF3" w:rsidRPr="00CE5FF9" w:rsidRDefault="00972FF3" w:rsidP="00CE5FF9">
            <w:pPr>
              <w:pStyle w:val="ListParagraph"/>
              <w:spacing w:after="200"/>
              <w:ind w:left="0"/>
              <w:contextualSpacing/>
              <w:rPr>
                <w:b/>
              </w:rPr>
            </w:pPr>
            <w:r w:rsidRPr="0092722F">
              <w:rPr>
                <w:b/>
              </w:rPr>
              <w:t xml:space="preserve">Table </w:t>
            </w:r>
            <w:r w:rsidR="002C4717" w:rsidRPr="0092722F">
              <w:rPr>
                <w:b/>
              </w:rPr>
              <w:t>3</w:t>
            </w:r>
            <w:r w:rsidRPr="0092722F">
              <w:rPr>
                <w:b/>
              </w:rPr>
              <w:t xml:space="preserve">:  </w:t>
            </w:r>
            <w:r w:rsidR="002C4717" w:rsidRPr="0092722F">
              <w:rPr>
                <w:b/>
              </w:rPr>
              <w:t xml:space="preserve">Romania-- the </w:t>
            </w:r>
            <w:r w:rsidR="00C07B41" w:rsidRPr="0092722F">
              <w:rPr>
                <w:b/>
              </w:rPr>
              <w:t>C.N.S.A.S.</w:t>
            </w:r>
            <w:r w:rsidR="002C4717" w:rsidRPr="0092722F">
              <w:rPr>
                <w:b/>
              </w:rPr>
              <w:t xml:space="preserve"> file requests </w:t>
            </w:r>
          </w:p>
        </w:tc>
      </w:tr>
      <w:tr w:rsidR="00644025" w:rsidRPr="0092722F" w:rsidTr="001805A1">
        <w:tc>
          <w:tcPr>
            <w:tcW w:w="1998" w:type="dxa"/>
            <w:tcBorders>
              <w:top w:val="single" w:sz="4" w:space="0" w:color="auto"/>
              <w:bottom w:val="single" w:sz="4" w:space="0" w:color="auto"/>
              <w:right w:val="single" w:sz="4" w:space="0" w:color="auto"/>
            </w:tcBorders>
          </w:tcPr>
          <w:p w:rsidR="00644025" w:rsidRPr="0092722F" w:rsidRDefault="00644025" w:rsidP="007B50B0">
            <w:pPr>
              <w:spacing w:after="0" w:line="240" w:lineRule="auto"/>
              <w:jc w:val="both"/>
              <w:rPr>
                <w:b/>
                <w:sz w:val="22"/>
                <w:szCs w:val="22"/>
              </w:rPr>
            </w:pPr>
            <w:r w:rsidRPr="0092722F">
              <w:rPr>
                <w:b/>
                <w:sz w:val="22"/>
                <w:szCs w:val="22"/>
              </w:rPr>
              <w:t>Year</w:t>
            </w:r>
          </w:p>
        </w:tc>
        <w:tc>
          <w:tcPr>
            <w:tcW w:w="3330" w:type="dxa"/>
            <w:tcBorders>
              <w:top w:val="single" w:sz="4" w:space="0" w:color="auto"/>
              <w:left w:val="single" w:sz="4" w:space="0" w:color="auto"/>
              <w:bottom w:val="single" w:sz="4" w:space="0" w:color="auto"/>
              <w:right w:val="single" w:sz="4" w:space="0" w:color="auto"/>
            </w:tcBorders>
          </w:tcPr>
          <w:p w:rsidR="00644025" w:rsidRPr="0092722F" w:rsidRDefault="00644025" w:rsidP="007B50B0">
            <w:pPr>
              <w:spacing w:after="0" w:line="240" w:lineRule="auto"/>
              <w:jc w:val="both"/>
              <w:rPr>
                <w:b/>
                <w:sz w:val="22"/>
                <w:szCs w:val="22"/>
              </w:rPr>
            </w:pPr>
            <w:r w:rsidRPr="0092722F">
              <w:rPr>
                <w:b/>
                <w:sz w:val="22"/>
                <w:szCs w:val="22"/>
              </w:rPr>
              <w:t>Individual new file requests</w:t>
            </w:r>
          </w:p>
        </w:tc>
        <w:tc>
          <w:tcPr>
            <w:tcW w:w="4248" w:type="dxa"/>
            <w:tcBorders>
              <w:top w:val="single" w:sz="4" w:space="0" w:color="auto"/>
              <w:left w:val="single" w:sz="4" w:space="0" w:color="auto"/>
              <w:bottom w:val="single" w:sz="4" w:space="0" w:color="auto"/>
            </w:tcBorders>
          </w:tcPr>
          <w:p w:rsidR="00644025" w:rsidRPr="0092722F" w:rsidRDefault="00644025" w:rsidP="007B50B0">
            <w:pPr>
              <w:spacing w:after="0" w:line="240" w:lineRule="auto"/>
              <w:jc w:val="both"/>
              <w:rPr>
                <w:b/>
                <w:sz w:val="22"/>
                <w:szCs w:val="22"/>
              </w:rPr>
            </w:pPr>
            <w:r w:rsidRPr="0092722F">
              <w:rPr>
                <w:b/>
                <w:sz w:val="22"/>
                <w:szCs w:val="22"/>
              </w:rPr>
              <w:t>Files released by C.N.S.A.S. to public</w:t>
            </w:r>
          </w:p>
        </w:tc>
      </w:tr>
      <w:tr w:rsidR="00644025" w:rsidRPr="0092722F" w:rsidTr="001805A1">
        <w:tc>
          <w:tcPr>
            <w:tcW w:w="1998" w:type="dxa"/>
            <w:tcBorders>
              <w:top w:val="single" w:sz="4" w:space="0" w:color="auto"/>
              <w:right w:val="single" w:sz="4" w:space="0" w:color="auto"/>
            </w:tcBorders>
          </w:tcPr>
          <w:p w:rsidR="00644025" w:rsidRPr="0092722F" w:rsidRDefault="00644025" w:rsidP="007B50B0">
            <w:pPr>
              <w:spacing w:after="0" w:line="240" w:lineRule="auto"/>
              <w:jc w:val="both"/>
              <w:rPr>
                <w:sz w:val="22"/>
                <w:szCs w:val="22"/>
              </w:rPr>
            </w:pPr>
            <w:r w:rsidRPr="0092722F">
              <w:rPr>
                <w:sz w:val="22"/>
                <w:szCs w:val="22"/>
              </w:rPr>
              <w:t>2006</w:t>
            </w:r>
          </w:p>
        </w:tc>
        <w:tc>
          <w:tcPr>
            <w:tcW w:w="3330" w:type="dxa"/>
            <w:tcBorders>
              <w:top w:val="single" w:sz="4" w:space="0" w:color="auto"/>
              <w:left w:val="single" w:sz="4" w:space="0" w:color="auto"/>
              <w:right w:val="single" w:sz="4" w:space="0" w:color="auto"/>
            </w:tcBorders>
          </w:tcPr>
          <w:p w:rsidR="00644025" w:rsidRPr="0092722F" w:rsidRDefault="00644025" w:rsidP="007B50B0">
            <w:pPr>
              <w:spacing w:after="0" w:line="240" w:lineRule="auto"/>
              <w:jc w:val="both"/>
              <w:rPr>
                <w:sz w:val="22"/>
                <w:szCs w:val="22"/>
              </w:rPr>
            </w:pPr>
            <w:r w:rsidRPr="0092722F">
              <w:rPr>
                <w:sz w:val="22"/>
                <w:szCs w:val="22"/>
              </w:rPr>
              <w:t>816</w:t>
            </w:r>
          </w:p>
        </w:tc>
        <w:tc>
          <w:tcPr>
            <w:tcW w:w="4248" w:type="dxa"/>
            <w:tcBorders>
              <w:top w:val="single" w:sz="4" w:space="0" w:color="auto"/>
              <w:left w:val="single" w:sz="4" w:space="0" w:color="auto"/>
            </w:tcBorders>
          </w:tcPr>
          <w:p w:rsidR="00644025" w:rsidRPr="0092722F" w:rsidRDefault="00644025" w:rsidP="007B50B0">
            <w:pPr>
              <w:spacing w:after="0" w:line="240" w:lineRule="auto"/>
              <w:jc w:val="both"/>
              <w:rPr>
                <w:sz w:val="22"/>
                <w:szCs w:val="22"/>
              </w:rPr>
            </w:pPr>
            <w:r w:rsidRPr="0092722F">
              <w:rPr>
                <w:sz w:val="22"/>
                <w:szCs w:val="22"/>
              </w:rPr>
              <w:t>111,191</w:t>
            </w:r>
          </w:p>
        </w:tc>
      </w:tr>
      <w:tr w:rsidR="00644025" w:rsidRPr="0092722F" w:rsidTr="001805A1">
        <w:tc>
          <w:tcPr>
            <w:tcW w:w="1998" w:type="dxa"/>
            <w:tcBorders>
              <w:right w:val="single" w:sz="4" w:space="0" w:color="auto"/>
            </w:tcBorders>
          </w:tcPr>
          <w:p w:rsidR="00644025" w:rsidRPr="0092722F" w:rsidRDefault="00644025" w:rsidP="007B50B0">
            <w:pPr>
              <w:spacing w:after="0" w:line="240" w:lineRule="auto"/>
              <w:jc w:val="both"/>
              <w:rPr>
                <w:sz w:val="22"/>
                <w:szCs w:val="22"/>
              </w:rPr>
            </w:pPr>
            <w:r w:rsidRPr="0092722F">
              <w:rPr>
                <w:sz w:val="22"/>
                <w:szCs w:val="22"/>
              </w:rPr>
              <w:t>2008</w:t>
            </w:r>
          </w:p>
        </w:tc>
        <w:tc>
          <w:tcPr>
            <w:tcW w:w="3330" w:type="dxa"/>
            <w:tcBorders>
              <w:left w:val="single" w:sz="4" w:space="0" w:color="auto"/>
              <w:right w:val="single" w:sz="4" w:space="0" w:color="auto"/>
            </w:tcBorders>
          </w:tcPr>
          <w:p w:rsidR="00644025" w:rsidRPr="0092722F" w:rsidRDefault="00644025" w:rsidP="007B50B0">
            <w:pPr>
              <w:spacing w:after="0" w:line="240" w:lineRule="auto"/>
              <w:jc w:val="both"/>
              <w:rPr>
                <w:sz w:val="22"/>
                <w:szCs w:val="22"/>
              </w:rPr>
            </w:pPr>
            <w:r w:rsidRPr="0092722F">
              <w:rPr>
                <w:sz w:val="22"/>
                <w:szCs w:val="22"/>
              </w:rPr>
              <w:t>1311</w:t>
            </w:r>
          </w:p>
        </w:tc>
        <w:tc>
          <w:tcPr>
            <w:tcW w:w="4248" w:type="dxa"/>
            <w:tcBorders>
              <w:left w:val="single" w:sz="4" w:space="0" w:color="auto"/>
            </w:tcBorders>
          </w:tcPr>
          <w:p w:rsidR="00644025" w:rsidRPr="0092722F" w:rsidRDefault="00644025" w:rsidP="007B50B0">
            <w:pPr>
              <w:spacing w:after="0" w:line="240" w:lineRule="auto"/>
              <w:jc w:val="both"/>
              <w:rPr>
                <w:sz w:val="22"/>
                <w:szCs w:val="22"/>
              </w:rPr>
            </w:pPr>
            <w:r w:rsidRPr="0092722F">
              <w:rPr>
                <w:sz w:val="22"/>
                <w:szCs w:val="22"/>
              </w:rPr>
              <w:t>357,274</w:t>
            </w:r>
          </w:p>
        </w:tc>
      </w:tr>
      <w:tr w:rsidR="00644025" w:rsidRPr="0092722F" w:rsidTr="0092722F">
        <w:tc>
          <w:tcPr>
            <w:tcW w:w="1998" w:type="dxa"/>
            <w:tcBorders>
              <w:bottom w:val="single" w:sz="4" w:space="0" w:color="auto"/>
              <w:right w:val="single" w:sz="4" w:space="0" w:color="auto"/>
            </w:tcBorders>
          </w:tcPr>
          <w:p w:rsidR="00644025" w:rsidRPr="0092722F" w:rsidRDefault="00644025" w:rsidP="007B50B0">
            <w:pPr>
              <w:spacing w:after="0" w:line="240" w:lineRule="auto"/>
              <w:jc w:val="both"/>
              <w:rPr>
                <w:sz w:val="22"/>
                <w:szCs w:val="22"/>
              </w:rPr>
            </w:pPr>
            <w:r w:rsidRPr="0092722F">
              <w:rPr>
                <w:sz w:val="22"/>
                <w:szCs w:val="22"/>
              </w:rPr>
              <w:t>2012</w:t>
            </w:r>
          </w:p>
        </w:tc>
        <w:tc>
          <w:tcPr>
            <w:tcW w:w="3330" w:type="dxa"/>
            <w:tcBorders>
              <w:left w:val="single" w:sz="4" w:space="0" w:color="auto"/>
              <w:bottom w:val="single" w:sz="4" w:space="0" w:color="auto"/>
              <w:right w:val="single" w:sz="4" w:space="0" w:color="auto"/>
            </w:tcBorders>
          </w:tcPr>
          <w:p w:rsidR="00644025" w:rsidRPr="0092722F" w:rsidRDefault="00644025" w:rsidP="007B50B0">
            <w:pPr>
              <w:spacing w:after="0" w:line="240" w:lineRule="auto"/>
              <w:jc w:val="both"/>
              <w:rPr>
                <w:sz w:val="22"/>
                <w:szCs w:val="22"/>
              </w:rPr>
            </w:pPr>
            <w:r w:rsidRPr="0092722F">
              <w:rPr>
                <w:sz w:val="22"/>
                <w:szCs w:val="22"/>
              </w:rPr>
              <w:t>3653</w:t>
            </w:r>
          </w:p>
        </w:tc>
        <w:tc>
          <w:tcPr>
            <w:tcW w:w="4248" w:type="dxa"/>
            <w:tcBorders>
              <w:left w:val="single" w:sz="4" w:space="0" w:color="auto"/>
              <w:bottom w:val="single" w:sz="4" w:space="0" w:color="auto"/>
            </w:tcBorders>
          </w:tcPr>
          <w:p w:rsidR="00644025" w:rsidRPr="0092722F" w:rsidRDefault="00644025" w:rsidP="007B50B0">
            <w:pPr>
              <w:spacing w:after="0" w:line="240" w:lineRule="auto"/>
              <w:jc w:val="both"/>
              <w:rPr>
                <w:sz w:val="22"/>
                <w:szCs w:val="22"/>
              </w:rPr>
            </w:pPr>
            <w:r w:rsidRPr="0092722F">
              <w:rPr>
                <w:sz w:val="22"/>
                <w:szCs w:val="22"/>
              </w:rPr>
              <w:t>716,946</w:t>
            </w:r>
          </w:p>
        </w:tc>
      </w:tr>
      <w:tr w:rsidR="0092722F" w:rsidRPr="00644025" w:rsidTr="00AE1CD9">
        <w:tblPrEx>
          <w:tblBorders>
            <w:top w:val="none" w:sz="0" w:space="0" w:color="auto"/>
            <w:left w:val="none" w:sz="0" w:space="0" w:color="auto"/>
            <w:bottom w:val="none" w:sz="0" w:space="0" w:color="auto"/>
            <w:right w:val="none" w:sz="0" w:space="0" w:color="auto"/>
          </w:tblBorders>
        </w:tblPrEx>
        <w:tc>
          <w:tcPr>
            <w:tcW w:w="9576" w:type="dxa"/>
            <w:gridSpan w:val="3"/>
            <w:tcBorders>
              <w:top w:val="single" w:sz="4" w:space="0" w:color="auto"/>
              <w:left w:val="single" w:sz="4" w:space="0" w:color="auto"/>
              <w:bottom w:val="single" w:sz="4" w:space="0" w:color="auto"/>
              <w:right w:val="single" w:sz="4" w:space="0" w:color="auto"/>
            </w:tcBorders>
          </w:tcPr>
          <w:p w:rsidR="0092722F" w:rsidRPr="00644025" w:rsidRDefault="0092722F" w:rsidP="00AE1CD9">
            <w:pPr>
              <w:pStyle w:val="FootnoteText"/>
              <w:rPr>
                <w:b/>
              </w:rPr>
            </w:pPr>
            <w:r w:rsidRPr="00644025">
              <w:rPr>
                <w:b/>
                <w:color w:val="000000"/>
              </w:rPr>
              <w:t xml:space="preserve">Author compiled from </w:t>
            </w:r>
            <w:proofErr w:type="spellStart"/>
            <w:r w:rsidRPr="00644025">
              <w:rPr>
                <w:b/>
                <w:bCs/>
                <w:i/>
              </w:rPr>
              <w:t>Raport</w:t>
            </w:r>
            <w:proofErr w:type="spellEnd"/>
            <w:r w:rsidRPr="00644025">
              <w:rPr>
                <w:b/>
                <w:bCs/>
                <w:i/>
              </w:rPr>
              <w:t xml:space="preserve"> de </w:t>
            </w:r>
            <w:proofErr w:type="spellStart"/>
            <w:r w:rsidRPr="00644025">
              <w:rPr>
                <w:b/>
                <w:bCs/>
                <w:i/>
              </w:rPr>
              <w:t>activitate</w:t>
            </w:r>
            <w:proofErr w:type="spellEnd"/>
            <w:r w:rsidRPr="00644025">
              <w:rPr>
                <w:b/>
                <w:bCs/>
                <w:i/>
              </w:rPr>
              <w:t xml:space="preserve"> </w:t>
            </w:r>
            <w:proofErr w:type="spellStart"/>
            <w:r w:rsidRPr="00644025">
              <w:rPr>
                <w:b/>
                <w:bCs/>
                <w:i/>
              </w:rPr>
              <w:t>privind</w:t>
            </w:r>
            <w:proofErr w:type="spellEnd"/>
            <w:r w:rsidRPr="00644025">
              <w:rPr>
                <w:b/>
                <w:bCs/>
                <w:i/>
              </w:rPr>
              <w:t xml:space="preserve"> </w:t>
            </w:r>
            <w:proofErr w:type="spellStart"/>
            <w:r w:rsidRPr="00644025">
              <w:rPr>
                <w:b/>
                <w:bCs/>
                <w:i/>
              </w:rPr>
              <w:t>anul</w:t>
            </w:r>
            <w:proofErr w:type="spellEnd"/>
            <w:r w:rsidRPr="00644025">
              <w:rPr>
                <w:b/>
                <w:bCs/>
                <w:i/>
              </w:rPr>
              <w:t xml:space="preserve"> , various years (Annual Activity Report)</w:t>
            </w:r>
            <w:r w:rsidRPr="00644025">
              <w:rPr>
                <w:b/>
                <w:bCs/>
              </w:rPr>
              <w:t xml:space="preserve">, C.N.S.A.S.,  </w:t>
            </w:r>
            <w:hyperlink r:id="rId25" w:history="1">
              <w:r w:rsidRPr="00644025">
                <w:rPr>
                  <w:rStyle w:val="Hyperlink"/>
                  <w:b/>
                  <w:bCs/>
                </w:rPr>
                <w:t>http://www.cnsas.ro/rapoarte.html</w:t>
              </w:r>
            </w:hyperlink>
          </w:p>
        </w:tc>
      </w:tr>
    </w:tbl>
    <w:p w:rsidR="00CE5FF9" w:rsidRDefault="00CE5FF9" w:rsidP="00FD1C2B">
      <w:pPr>
        <w:spacing w:after="0" w:line="480" w:lineRule="auto"/>
        <w:ind w:firstLine="720"/>
        <w:jc w:val="both"/>
        <w:rPr>
          <w:b/>
          <w:sz w:val="22"/>
          <w:szCs w:val="22"/>
        </w:rPr>
      </w:pPr>
    </w:p>
    <w:p w:rsidR="0092722F" w:rsidRDefault="00CE5FF9" w:rsidP="00FD1C2B">
      <w:pPr>
        <w:spacing w:after="0" w:line="480" w:lineRule="auto"/>
        <w:ind w:firstLine="720"/>
        <w:jc w:val="both"/>
        <w:rPr>
          <w:b/>
          <w:sz w:val="22"/>
          <w:szCs w:val="22"/>
        </w:rPr>
      </w:pPr>
      <w:r>
        <w:rPr>
          <w:b/>
          <w:sz w:val="22"/>
          <w:szCs w:val="22"/>
        </w:rPr>
        <w:br w:type="column"/>
      </w:r>
    </w:p>
    <w:tbl>
      <w:tblPr>
        <w:tblW w:w="0" w:type="auto"/>
        <w:tblLook w:val="04A0"/>
      </w:tblPr>
      <w:tblGrid>
        <w:gridCol w:w="2642"/>
        <w:gridCol w:w="3378"/>
        <w:gridCol w:w="3556"/>
      </w:tblGrid>
      <w:tr w:rsidR="002C4717" w:rsidRPr="0092722F" w:rsidTr="00117DEB">
        <w:tc>
          <w:tcPr>
            <w:tcW w:w="9576" w:type="dxa"/>
            <w:gridSpan w:val="3"/>
            <w:tcBorders>
              <w:top w:val="single" w:sz="4" w:space="0" w:color="auto"/>
              <w:left w:val="single" w:sz="4" w:space="0" w:color="auto"/>
              <w:bottom w:val="single" w:sz="4" w:space="0" w:color="auto"/>
              <w:right w:val="single" w:sz="4" w:space="0" w:color="auto"/>
            </w:tcBorders>
          </w:tcPr>
          <w:p w:rsidR="002C4717" w:rsidRPr="0092722F" w:rsidRDefault="002C4717" w:rsidP="00CE5FF9">
            <w:pPr>
              <w:spacing w:line="240" w:lineRule="auto"/>
              <w:rPr>
                <w:rFonts w:cs="Times New Roman"/>
                <w:b/>
                <w:color w:val="000000"/>
                <w:sz w:val="22"/>
                <w:szCs w:val="22"/>
              </w:rPr>
            </w:pPr>
            <w:r w:rsidRPr="0092722F">
              <w:rPr>
                <w:rFonts w:cs="Times New Roman"/>
                <w:b/>
                <w:color w:val="000000"/>
                <w:sz w:val="24"/>
                <w:szCs w:val="24"/>
              </w:rPr>
              <w:t>Table 4: Romania—the C.N.S.A.S. Public Disclosure Activities</w:t>
            </w:r>
          </w:p>
        </w:tc>
      </w:tr>
      <w:tr w:rsidR="002C4717" w:rsidRPr="0092722F" w:rsidTr="00117DEB">
        <w:tc>
          <w:tcPr>
            <w:tcW w:w="2642" w:type="dxa"/>
            <w:tcBorders>
              <w:top w:val="single" w:sz="4" w:space="0" w:color="auto"/>
              <w:left w:val="single" w:sz="4" w:space="0" w:color="auto"/>
              <w:bottom w:val="single" w:sz="4" w:space="0" w:color="auto"/>
              <w:right w:val="single" w:sz="4" w:space="0" w:color="auto"/>
            </w:tcBorders>
          </w:tcPr>
          <w:p w:rsidR="002C4717" w:rsidRPr="0092722F" w:rsidRDefault="002C4717" w:rsidP="00117DEB">
            <w:pPr>
              <w:spacing w:after="0" w:line="240" w:lineRule="auto"/>
              <w:jc w:val="center"/>
              <w:rPr>
                <w:rFonts w:cs="Times New Roman"/>
                <w:b/>
                <w:color w:val="000000"/>
                <w:sz w:val="22"/>
                <w:szCs w:val="22"/>
              </w:rPr>
            </w:pPr>
            <w:r w:rsidRPr="0092722F">
              <w:rPr>
                <w:rFonts w:cs="Times New Roman"/>
                <w:b/>
                <w:color w:val="000000"/>
                <w:sz w:val="22"/>
                <w:szCs w:val="22"/>
              </w:rPr>
              <w:t>Year</w:t>
            </w:r>
          </w:p>
        </w:tc>
        <w:tc>
          <w:tcPr>
            <w:tcW w:w="3378" w:type="dxa"/>
            <w:tcBorders>
              <w:top w:val="single" w:sz="4" w:space="0" w:color="auto"/>
              <w:left w:val="single" w:sz="4" w:space="0" w:color="auto"/>
              <w:bottom w:val="single" w:sz="4" w:space="0" w:color="auto"/>
              <w:right w:val="single" w:sz="4" w:space="0" w:color="auto"/>
            </w:tcBorders>
          </w:tcPr>
          <w:p w:rsidR="002C4717" w:rsidRPr="0092722F" w:rsidRDefault="002C4717" w:rsidP="00117DEB">
            <w:pPr>
              <w:spacing w:after="0" w:line="240" w:lineRule="auto"/>
              <w:jc w:val="center"/>
              <w:rPr>
                <w:rFonts w:cs="Times New Roman"/>
                <w:b/>
                <w:color w:val="000000"/>
                <w:sz w:val="22"/>
                <w:szCs w:val="22"/>
              </w:rPr>
            </w:pPr>
            <w:r w:rsidRPr="0092722F">
              <w:rPr>
                <w:rFonts w:cs="Times New Roman"/>
                <w:b/>
                <w:color w:val="000000"/>
                <w:sz w:val="22"/>
                <w:szCs w:val="22"/>
              </w:rPr>
              <w:t>Number of files reviewed</w:t>
            </w:r>
          </w:p>
        </w:tc>
        <w:tc>
          <w:tcPr>
            <w:tcW w:w="3556" w:type="dxa"/>
            <w:tcBorders>
              <w:top w:val="single" w:sz="4" w:space="0" w:color="auto"/>
              <w:left w:val="single" w:sz="4" w:space="0" w:color="auto"/>
              <w:bottom w:val="single" w:sz="4" w:space="0" w:color="auto"/>
              <w:right w:val="single" w:sz="4" w:space="0" w:color="auto"/>
            </w:tcBorders>
          </w:tcPr>
          <w:p w:rsidR="002C4717" w:rsidRPr="0092722F" w:rsidRDefault="002C4717" w:rsidP="00117DEB">
            <w:pPr>
              <w:spacing w:after="0" w:line="240" w:lineRule="auto"/>
              <w:jc w:val="center"/>
              <w:rPr>
                <w:rFonts w:cs="Times New Roman"/>
                <w:b/>
                <w:color w:val="000000"/>
                <w:sz w:val="22"/>
                <w:szCs w:val="22"/>
              </w:rPr>
            </w:pPr>
            <w:r w:rsidRPr="0092722F">
              <w:rPr>
                <w:rFonts w:cs="Times New Roman"/>
                <w:b/>
                <w:color w:val="000000"/>
                <w:sz w:val="22"/>
                <w:szCs w:val="22"/>
              </w:rPr>
              <w:t>Number of informants revealed</w:t>
            </w:r>
          </w:p>
        </w:tc>
      </w:tr>
      <w:tr w:rsidR="002C4717" w:rsidRPr="0092722F" w:rsidTr="00117DEB">
        <w:tc>
          <w:tcPr>
            <w:tcW w:w="2642" w:type="dxa"/>
            <w:tcBorders>
              <w:top w:val="single" w:sz="4" w:space="0" w:color="auto"/>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2005</w:t>
            </w:r>
          </w:p>
        </w:tc>
        <w:tc>
          <w:tcPr>
            <w:tcW w:w="3378" w:type="dxa"/>
            <w:tcBorders>
              <w:top w:val="single" w:sz="4" w:space="0" w:color="auto"/>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1690</w:t>
            </w:r>
          </w:p>
        </w:tc>
        <w:tc>
          <w:tcPr>
            <w:tcW w:w="3556" w:type="dxa"/>
            <w:tcBorders>
              <w:top w:val="single" w:sz="4" w:space="0" w:color="auto"/>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49</w:t>
            </w:r>
          </w:p>
        </w:tc>
      </w:tr>
      <w:tr w:rsidR="002C4717" w:rsidRPr="0092722F" w:rsidTr="00117DEB">
        <w:tc>
          <w:tcPr>
            <w:tcW w:w="2642" w:type="dxa"/>
            <w:tcBorders>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2006</w:t>
            </w:r>
          </w:p>
        </w:tc>
        <w:tc>
          <w:tcPr>
            <w:tcW w:w="3378"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2715</w:t>
            </w:r>
          </w:p>
        </w:tc>
        <w:tc>
          <w:tcPr>
            <w:tcW w:w="3556"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270</w:t>
            </w:r>
          </w:p>
        </w:tc>
      </w:tr>
      <w:tr w:rsidR="002C4717" w:rsidRPr="0092722F" w:rsidTr="00117DEB">
        <w:tc>
          <w:tcPr>
            <w:tcW w:w="2642" w:type="dxa"/>
            <w:tcBorders>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2007</w:t>
            </w:r>
          </w:p>
        </w:tc>
        <w:tc>
          <w:tcPr>
            <w:tcW w:w="3378"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17,734</w:t>
            </w:r>
          </w:p>
        </w:tc>
        <w:tc>
          <w:tcPr>
            <w:tcW w:w="3556"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341</w:t>
            </w:r>
          </w:p>
        </w:tc>
      </w:tr>
      <w:tr w:rsidR="002C4717" w:rsidRPr="0092722F" w:rsidTr="00117DEB">
        <w:tc>
          <w:tcPr>
            <w:tcW w:w="2642" w:type="dxa"/>
            <w:tcBorders>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2008</w:t>
            </w:r>
          </w:p>
        </w:tc>
        <w:tc>
          <w:tcPr>
            <w:tcW w:w="3378"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14,268</w:t>
            </w:r>
          </w:p>
        </w:tc>
        <w:tc>
          <w:tcPr>
            <w:tcW w:w="3556"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610</w:t>
            </w:r>
          </w:p>
        </w:tc>
      </w:tr>
      <w:tr w:rsidR="002C4717" w:rsidRPr="0092722F" w:rsidTr="00117DEB">
        <w:tc>
          <w:tcPr>
            <w:tcW w:w="2642" w:type="dxa"/>
            <w:tcBorders>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2009</w:t>
            </w:r>
          </w:p>
        </w:tc>
        <w:tc>
          <w:tcPr>
            <w:tcW w:w="3378"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13,097</w:t>
            </w:r>
          </w:p>
        </w:tc>
        <w:tc>
          <w:tcPr>
            <w:tcW w:w="3556"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739</w:t>
            </w:r>
          </w:p>
        </w:tc>
      </w:tr>
      <w:tr w:rsidR="002C4717" w:rsidRPr="0092722F" w:rsidTr="00117DEB">
        <w:tc>
          <w:tcPr>
            <w:tcW w:w="2642" w:type="dxa"/>
            <w:tcBorders>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2010</w:t>
            </w:r>
          </w:p>
        </w:tc>
        <w:tc>
          <w:tcPr>
            <w:tcW w:w="3378"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16,868</w:t>
            </w:r>
          </w:p>
        </w:tc>
        <w:tc>
          <w:tcPr>
            <w:tcW w:w="3556"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847</w:t>
            </w:r>
          </w:p>
        </w:tc>
      </w:tr>
      <w:tr w:rsidR="002C4717" w:rsidRPr="0092722F" w:rsidTr="00117DEB">
        <w:tc>
          <w:tcPr>
            <w:tcW w:w="2642" w:type="dxa"/>
            <w:tcBorders>
              <w:left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2011</w:t>
            </w:r>
          </w:p>
        </w:tc>
        <w:tc>
          <w:tcPr>
            <w:tcW w:w="3378"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w:t>
            </w:r>
          </w:p>
        </w:tc>
        <w:tc>
          <w:tcPr>
            <w:tcW w:w="3556" w:type="dxa"/>
            <w:tcBorders>
              <w:left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867</w:t>
            </w:r>
          </w:p>
        </w:tc>
      </w:tr>
      <w:tr w:rsidR="002C4717" w:rsidRPr="0092722F" w:rsidTr="00117DEB">
        <w:tc>
          <w:tcPr>
            <w:tcW w:w="2642" w:type="dxa"/>
            <w:tcBorders>
              <w:left w:val="single" w:sz="4" w:space="0" w:color="auto"/>
              <w:bottom w:val="single" w:sz="4" w:space="0" w:color="auto"/>
              <w:right w:val="single" w:sz="4" w:space="0" w:color="auto"/>
            </w:tcBorders>
          </w:tcPr>
          <w:p w:rsidR="002C4717" w:rsidRPr="0092722F" w:rsidRDefault="002C4717" w:rsidP="00117DEB">
            <w:pPr>
              <w:spacing w:after="0" w:line="240" w:lineRule="auto"/>
              <w:rPr>
                <w:rFonts w:cs="Times New Roman"/>
                <w:color w:val="000000"/>
                <w:sz w:val="22"/>
                <w:szCs w:val="22"/>
              </w:rPr>
            </w:pPr>
            <w:r w:rsidRPr="0092722F">
              <w:rPr>
                <w:rFonts w:cs="Times New Roman"/>
                <w:color w:val="000000"/>
                <w:sz w:val="22"/>
                <w:szCs w:val="22"/>
              </w:rPr>
              <w:t>2012</w:t>
            </w:r>
          </w:p>
        </w:tc>
        <w:tc>
          <w:tcPr>
            <w:tcW w:w="3378" w:type="dxa"/>
            <w:tcBorders>
              <w:left w:val="single" w:sz="4" w:space="0" w:color="auto"/>
              <w:bottom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6,423 local election candidates</w:t>
            </w:r>
          </w:p>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2,362 parliamentary candidates</w:t>
            </w:r>
          </w:p>
        </w:tc>
        <w:tc>
          <w:tcPr>
            <w:tcW w:w="3556" w:type="dxa"/>
            <w:tcBorders>
              <w:left w:val="single" w:sz="4" w:space="0" w:color="auto"/>
              <w:bottom w:val="single" w:sz="4" w:space="0" w:color="auto"/>
              <w:right w:val="single" w:sz="4" w:space="0" w:color="auto"/>
            </w:tcBorders>
          </w:tcPr>
          <w:p w:rsidR="002C4717" w:rsidRPr="0092722F" w:rsidRDefault="002C4717" w:rsidP="00117DEB">
            <w:pPr>
              <w:spacing w:after="0" w:line="240" w:lineRule="auto"/>
              <w:jc w:val="center"/>
              <w:rPr>
                <w:rFonts w:cs="Times New Roman"/>
                <w:color w:val="000000"/>
                <w:sz w:val="22"/>
                <w:szCs w:val="22"/>
              </w:rPr>
            </w:pPr>
            <w:r w:rsidRPr="0092722F">
              <w:rPr>
                <w:rFonts w:cs="Times New Roman"/>
                <w:color w:val="000000"/>
                <w:sz w:val="22"/>
                <w:szCs w:val="22"/>
              </w:rPr>
              <w:t>858</w:t>
            </w:r>
          </w:p>
        </w:tc>
      </w:tr>
      <w:tr w:rsidR="002C4717" w:rsidRPr="00644025" w:rsidTr="00117DEB">
        <w:tc>
          <w:tcPr>
            <w:tcW w:w="9576" w:type="dxa"/>
            <w:gridSpan w:val="3"/>
            <w:tcBorders>
              <w:top w:val="single" w:sz="4" w:space="0" w:color="auto"/>
              <w:left w:val="single" w:sz="4" w:space="0" w:color="auto"/>
              <w:bottom w:val="single" w:sz="4" w:space="0" w:color="auto"/>
              <w:right w:val="single" w:sz="4" w:space="0" w:color="auto"/>
            </w:tcBorders>
          </w:tcPr>
          <w:p w:rsidR="002C4717" w:rsidRPr="00644025" w:rsidRDefault="002C4717" w:rsidP="00117DEB">
            <w:pPr>
              <w:pStyle w:val="FootnoteText"/>
              <w:rPr>
                <w:b/>
              </w:rPr>
            </w:pPr>
            <w:r w:rsidRPr="00644025">
              <w:rPr>
                <w:b/>
                <w:color w:val="000000"/>
              </w:rPr>
              <w:t xml:space="preserve">Author compiled from </w:t>
            </w:r>
            <w:proofErr w:type="spellStart"/>
            <w:r w:rsidRPr="00644025">
              <w:rPr>
                <w:b/>
                <w:bCs/>
                <w:i/>
              </w:rPr>
              <w:t>Raport</w:t>
            </w:r>
            <w:proofErr w:type="spellEnd"/>
            <w:r w:rsidRPr="00644025">
              <w:rPr>
                <w:b/>
                <w:bCs/>
                <w:i/>
              </w:rPr>
              <w:t xml:space="preserve"> de </w:t>
            </w:r>
            <w:proofErr w:type="spellStart"/>
            <w:r w:rsidRPr="00644025">
              <w:rPr>
                <w:b/>
                <w:bCs/>
                <w:i/>
              </w:rPr>
              <w:t>activitate</w:t>
            </w:r>
            <w:proofErr w:type="spellEnd"/>
            <w:r w:rsidRPr="00644025">
              <w:rPr>
                <w:b/>
                <w:bCs/>
                <w:i/>
              </w:rPr>
              <w:t xml:space="preserve"> </w:t>
            </w:r>
            <w:proofErr w:type="spellStart"/>
            <w:r w:rsidRPr="00644025">
              <w:rPr>
                <w:b/>
                <w:bCs/>
                <w:i/>
              </w:rPr>
              <w:t>privind</w:t>
            </w:r>
            <w:proofErr w:type="spellEnd"/>
            <w:r w:rsidRPr="00644025">
              <w:rPr>
                <w:b/>
                <w:bCs/>
                <w:i/>
              </w:rPr>
              <w:t xml:space="preserve"> </w:t>
            </w:r>
            <w:proofErr w:type="spellStart"/>
            <w:r w:rsidRPr="00644025">
              <w:rPr>
                <w:b/>
                <w:bCs/>
                <w:i/>
              </w:rPr>
              <w:t>anul</w:t>
            </w:r>
            <w:proofErr w:type="spellEnd"/>
            <w:r w:rsidRPr="00644025">
              <w:rPr>
                <w:b/>
                <w:bCs/>
                <w:i/>
              </w:rPr>
              <w:t xml:space="preserve"> , various years (Annual Activity Report)</w:t>
            </w:r>
            <w:r w:rsidRPr="00644025">
              <w:rPr>
                <w:b/>
                <w:bCs/>
              </w:rPr>
              <w:t xml:space="preserve">, C.N.S.A.S.,  </w:t>
            </w:r>
            <w:hyperlink r:id="rId26" w:history="1">
              <w:r w:rsidRPr="00644025">
                <w:rPr>
                  <w:rStyle w:val="Hyperlink"/>
                  <w:b/>
                  <w:bCs/>
                </w:rPr>
                <w:t>http://www.cnsas.ro/rapoarte.html</w:t>
              </w:r>
            </w:hyperlink>
          </w:p>
        </w:tc>
      </w:tr>
    </w:tbl>
    <w:p w:rsidR="002C4717" w:rsidRDefault="002C4717" w:rsidP="002C4717">
      <w:pPr>
        <w:pStyle w:val="ListParagraph"/>
        <w:ind w:left="0"/>
        <w:contextualSpacing/>
        <w:rPr>
          <w:b/>
        </w:rPr>
      </w:pPr>
    </w:p>
    <w:p w:rsidR="002C4717" w:rsidRPr="00FD1C2B" w:rsidRDefault="002C4717" w:rsidP="00FD1C2B">
      <w:pPr>
        <w:spacing w:after="0" w:line="480" w:lineRule="auto"/>
        <w:ind w:firstLine="720"/>
        <w:jc w:val="both"/>
        <w:rPr>
          <w:b/>
        </w:rPr>
      </w:pPr>
    </w:p>
    <w:sectPr w:rsidR="002C4717" w:rsidRPr="00FD1C2B" w:rsidSect="00BF70D7">
      <w:footerReference w:type="default" r:id="rId2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CE" w:rsidRDefault="00F964CE" w:rsidP="00D418A9">
      <w:pPr>
        <w:spacing w:after="0" w:line="240" w:lineRule="auto"/>
      </w:pPr>
      <w:r>
        <w:separator/>
      </w:r>
    </w:p>
  </w:endnote>
  <w:endnote w:type="continuationSeparator" w:id="0">
    <w:p w:rsidR="00F964CE" w:rsidRDefault="00F964CE" w:rsidP="00D418A9">
      <w:pPr>
        <w:spacing w:after="0" w:line="240" w:lineRule="auto"/>
      </w:pPr>
      <w:r>
        <w:continuationSeparator/>
      </w:r>
    </w:p>
  </w:endnote>
  <w:endnote w:id="1">
    <w:p w:rsidR="00BE78C6" w:rsidRPr="00E439FC" w:rsidRDefault="00BE78C6">
      <w:pPr>
        <w:pStyle w:val="EndnoteText"/>
      </w:pPr>
      <w:r w:rsidRPr="00E439FC">
        <w:rPr>
          <w:rStyle w:val="EndnoteReference"/>
        </w:rPr>
        <w:endnoteRef/>
      </w:r>
      <w:r w:rsidRPr="00E439FC">
        <w:t xml:space="preserve"> The author would like to thank the University </w:t>
      </w:r>
      <w:proofErr w:type="gramStart"/>
      <w:r w:rsidRPr="00E439FC">
        <w:t>of</w:t>
      </w:r>
      <w:proofErr w:type="gramEnd"/>
      <w:r w:rsidRPr="00E439FC">
        <w:t xml:space="preserve"> Bucharest, Romania and the Center for the Study of Democracy, in Sofia Bulgaria for their support during my field research.  Special thanks to </w:t>
      </w:r>
      <w:r>
        <w:t xml:space="preserve">Dr. </w:t>
      </w:r>
      <w:proofErr w:type="spellStart"/>
      <w:r w:rsidRPr="00E439FC">
        <w:t>Claudiu</w:t>
      </w:r>
      <w:proofErr w:type="spellEnd"/>
      <w:r w:rsidRPr="00E439FC">
        <w:t xml:space="preserve"> </w:t>
      </w:r>
      <w:proofErr w:type="spellStart"/>
      <w:r w:rsidRPr="00E439FC">
        <w:t>Tufiş</w:t>
      </w:r>
      <w:proofErr w:type="spellEnd"/>
      <w:r w:rsidRPr="00E439FC">
        <w:t xml:space="preserve"> for facilitating my time at the University of Bucharest, and to </w:t>
      </w:r>
      <w:r>
        <w:t xml:space="preserve">Dr. </w:t>
      </w:r>
      <w:r w:rsidRPr="00E439FC">
        <w:t>Lavinia Stan who generously introduced me to transitional justice experts in Romania and shared with me an advance draft of her book on the topic.</w:t>
      </w:r>
    </w:p>
  </w:endnote>
  <w:endnote w:id="2">
    <w:p w:rsidR="00BE78C6" w:rsidRPr="00E439FC" w:rsidRDefault="00BE78C6" w:rsidP="00085F74">
      <w:pPr>
        <w:pStyle w:val="EndnoteText"/>
      </w:pPr>
      <w:r w:rsidRPr="00E439FC">
        <w:rPr>
          <w:rStyle w:val="EndnoteReference"/>
        </w:rPr>
        <w:endnoteRef/>
      </w:r>
      <w:r>
        <w:t xml:space="preserve"> Bulgarian</w:t>
      </w:r>
      <w:r w:rsidRPr="00E439FC">
        <w:t xml:space="preserve"> Dossier Commission’s mission statement, http://www.comdos.bg/, last accessed </w:t>
      </w:r>
      <w:r>
        <w:t>February 2, 2014</w:t>
      </w:r>
      <w:r w:rsidRPr="00E439FC">
        <w:t xml:space="preserve">.  </w:t>
      </w:r>
    </w:p>
  </w:endnote>
  <w:endnote w:id="3">
    <w:p w:rsidR="00BE78C6" w:rsidRPr="00E439FC" w:rsidRDefault="00BE78C6" w:rsidP="007B2FE1">
      <w:pPr>
        <w:pStyle w:val="EndnoteText"/>
      </w:pPr>
      <w:r w:rsidRPr="00E439FC">
        <w:rPr>
          <w:rStyle w:val="EndnoteReference"/>
        </w:rPr>
        <w:endnoteRef/>
      </w:r>
      <w:r w:rsidRPr="00E439FC">
        <w:t xml:space="preserve"> This framing of Bulgaria’s program as a form of “silent lustration” comes from author interview with Chairman </w:t>
      </w:r>
      <w:proofErr w:type="spellStart"/>
      <w:r w:rsidRPr="00E439FC">
        <w:t>Evtim</w:t>
      </w:r>
      <w:proofErr w:type="spellEnd"/>
      <w:r w:rsidRPr="00E439FC">
        <w:t xml:space="preserve"> </w:t>
      </w:r>
      <w:proofErr w:type="spellStart"/>
      <w:r w:rsidRPr="00E439FC">
        <w:t>Kostadinov</w:t>
      </w:r>
      <w:proofErr w:type="spellEnd"/>
      <w:r w:rsidRPr="00E439FC">
        <w:t xml:space="preserve">, Bulgarian Dossier Commission, Sofia, Bulgaria, </w:t>
      </w:r>
      <w:proofErr w:type="gramStart"/>
      <w:r>
        <w:t>July</w:t>
      </w:r>
      <w:proofErr w:type="gramEnd"/>
      <w:r w:rsidRPr="00E439FC">
        <w:t xml:space="preserve"> </w:t>
      </w:r>
      <w:r>
        <w:t xml:space="preserve">12, </w:t>
      </w:r>
      <w:r w:rsidRPr="00E439FC">
        <w:t xml:space="preserve">2012.  </w:t>
      </w:r>
    </w:p>
  </w:endnote>
  <w:endnote w:id="4">
    <w:p w:rsidR="00BE78C6" w:rsidRPr="00E439FC" w:rsidRDefault="00BE78C6" w:rsidP="004F7A10">
      <w:pPr>
        <w:pStyle w:val="EndnoteText"/>
      </w:pPr>
      <w:r w:rsidRPr="00E439FC">
        <w:rPr>
          <w:rStyle w:val="EndnoteReference"/>
        </w:rPr>
        <w:endnoteRef/>
      </w:r>
      <w:r w:rsidRPr="00E439FC">
        <w:t xml:space="preserve"> </w:t>
      </w:r>
      <w:proofErr w:type="gramStart"/>
      <w:r w:rsidRPr="00E439FC">
        <w:t xml:space="preserve">Interviews with Chairman </w:t>
      </w:r>
      <w:proofErr w:type="spellStart"/>
      <w:r w:rsidRPr="00E439FC">
        <w:t>Kostadinov</w:t>
      </w:r>
      <w:proofErr w:type="spellEnd"/>
      <w:r>
        <w:t>,</w:t>
      </w:r>
      <w:r w:rsidRPr="00E439FC">
        <w:t xml:space="preserve"> Dossier Commission, Sofia, Bulgaria,</w:t>
      </w:r>
      <w:r>
        <w:t xml:space="preserve"> July 12, 2012</w:t>
      </w:r>
      <w:r w:rsidRPr="00E439FC">
        <w:t xml:space="preserve"> and his counterpart in Romania,</w:t>
      </w:r>
      <w:r w:rsidRPr="00E439FC">
        <w:rPr>
          <w:color w:val="000000"/>
        </w:rPr>
        <w:t xml:space="preserve"> Dr. </w:t>
      </w:r>
      <w:proofErr w:type="spellStart"/>
      <w:r w:rsidRPr="00E439FC">
        <w:rPr>
          <w:color w:val="000000"/>
        </w:rPr>
        <w:t>Dragoş</w:t>
      </w:r>
      <w:proofErr w:type="spellEnd"/>
      <w:r w:rsidRPr="00E439FC">
        <w:rPr>
          <w:color w:val="000000"/>
        </w:rPr>
        <w:t xml:space="preserve"> </w:t>
      </w:r>
      <w:proofErr w:type="spellStart"/>
      <w:r w:rsidRPr="00E439FC">
        <w:rPr>
          <w:color w:val="000000"/>
        </w:rPr>
        <w:t>Petrescu</w:t>
      </w:r>
      <w:proofErr w:type="spellEnd"/>
      <w:r w:rsidRPr="00E439FC">
        <w:rPr>
          <w:color w:val="000000"/>
        </w:rPr>
        <w:t xml:space="preserve">, Chairman of the Board, C.N.S.A.S. Offices, Bucharest Romania, October </w:t>
      </w:r>
      <w:r>
        <w:rPr>
          <w:color w:val="000000"/>
        </w:rPr>
        <w:t xml:space="preserve">12, </w:t>
      </w:r>
      <w:r w:rsidRPr="00E439FC">
        <w:rPr>
          <w:color w:val="000000"/>
        </w:rPr>
        <w:t>2012.</w:t>
      </w:r>
      <w:proofErr w:type="gramEnd"/>
      <w:r w:rsidRPr="00E439FC">
        <w:t xml:space="preserve">  </w:t>
      </w:r>
    </w:p>
  </w:endnote>
  <w:endnote w:id="5">
    <w:p w:rsidR="00BE78C6" w:rsidRPr="00B35158" w:rsidRDefault="00BE78C6" w:rsidP="0078604B">
      <w:pPr>
        <w:pStyle w:val="ListParagraph"/>
        <w:ind w:left="0"/>
        <w:rPr>
          <w:sz w:val="20"/>
          <w:szCs w:val="20"/>
        </w:rPr>
      </w:pPr>
      <w:r w:rsidRPr="00B35158">
        <w:rPr>
          <w:rStyle w:val="EndnoteReference"/>
          <w:sz w:val="20"/>
          <w:szCs w:val="20"/>
        </w:rPr>
        <w:endnoteRef/>
      </w:r>
      <w:r w:rsidRPr="00B35158">
        <w:rPr>
          <w:sz w:val="20"/>
          <w:szCs w:val="20"/>
        </w:rPr>
        <w:t xml:space="preserve"> Latvia and Estonia used communist party membership and citizenship requirements as lustration criteria, while most other countries used secret police collaboration. See </w:t>
      </w:r>
      <w:proofErr w:type="spellStart"/>
      <w:r w:rsidRPr="00B35158">
        <w:rPr>
          <w:sz w:val="20"/>
          <w:szCs w:val="20"/>
        </w:rPr>
        <w:t>Pettai</w:t>
      </w:r>
      <w:proofErr w:type="spellEnd"/>
      <w:r>
        <w:rPr>
          <w:sz w:val="20"/>
          <w:szCs w:val="20"/>
        </w:rPr>
        <w:t xml:space="preserve"> 2013 and </w:t>
      </w:r>
      <w:proofErr w:type="spellStart"/>
      <w:r w:rsidRPr="00B35158">
        <w:rPr>
          <w:color w:val="000000"/>
          <w:sz w:val="20"/>
          <w:szCs w:val="20"/>
        </w:rPr>
        <w:t>Wezel</w:t>
      </w:r>
      <w:proofErr w:type="spellEnd"/>
      <w:r>
        <w:rPr>
          <w:color w:val="000000"/>
          <w:sz w:val="20"/>
          <w:szCs w:val="20"/>
        </w:rPr>
        <w:t xml:space="preserve"> 2013</w:t>
      </w:r>
      <w:r w:rsidRPr="00B35158">
        <w:rPr>
          <w:sz w:val="20"/>
          <w:szCs w:val="20"/>
        </w:rPr>
        <w:t>.</w:t>
      </w:r>
    </w:p>
  </w:endnote>
  <w:endnote w:id="6">
    <w:p w:rsidR="00BE78C6" w:rsidRPr="00B35158" w:rsidRDefault="00BE78C6" w:rsidP="007664ED">
      <w:pPr>
        <w:spacing w:after="0" w:line="240" w:lineRule="auto"/>
        <w:rPr>
          <w:rFonts w:eastAsia="Times New Roman"/>
          <w:color w:val="000000"/>
        </w:rPr>
      </w:pPr>
      <w:r w:rsidRPr="00B35158">
        <w:rPr>
          <w:rStyle w:val="EndnoteReference"/>
        </w:rPr>
        <w:endnoteRef/>
      </w:r>
      <w:r w:rsidRPr="00B35158">
        <w:t xml:space="preserve"> Author </w:t>
      </w:r>
      <w:r w:rsidRPr="00B35158">
        <w:rPr>
          <w:bCs/>
        </w:rPr>
        <w:t xml:space="preserve">interview with Dr. </w:t>
      </w:r>
      <w:proofErr w:type="spellStart"/>
      <w:r w:rsidRPr="00B35158">
        <w:rPr>
          <w:bCs/>
        </w:rPr>
        <w:t>Bogdan</w:t>
      </w:r>
      <w:proofErr w:type="spellEnd"/>
      <w:r w:rsidRPr="00B35158">
        <w:rPr>
          <w:bCs/>
        </w:rPr>
        <w:t xml:space="preserve"> </w:t>
      </w:r>
      <w:proofErr w:type="spellStart"/>
      <w:r w:rsidRPr="00B35158">
        <w:rPr>
          <w:bCs/>
        </w:rPr>
        <w:t>Mur</w:t>
      </w:r>
      <w:r w:rsidRPr="00B35158">
        <w:rPr>
          <w:bCs/>
          <w:color w:val="000000"/>
        </w:rPr>
        <w:t>gescu</w:t>
      </w:r>
      <w:proofErr w:type="spellEnd"/>
      <w:r w:rsidRPr="00B35158">
        <w:rPr>
          <w:bCs/>
          <w:color w:val="000000"/>
        </w:rPr>
        <w:t xml:space="preserve">, Department of History, University of Bucharest, Bucharest Romania, October 17, 2012; and interview </w:t>
      </w:r>
      <w:r w:rsidRPr="00B35158">
        <w:t xml:space="preserve">with Dr. </w:t>
      </w:r>
      <w:proofErr w:type="spellStart"/>
      <w:r w:rsidRPr="00B35158">
        <w:t>Iskra</w:t>
      </w:r>
      <w:proofErr w:type="spellEnd"/>
      <w:r w:rsidRPr="00B35158">
        <w:t xml:space="preserve"> </w:t>
      </w:r>
      <w:proofErr w:type="spellStart"/>
      <w:r w:rsidRPr="00B35158">
        <w:t>Baeva</w:t>
      </w:r>
      <w:proofErr w:type="spellEnd"/>
      <w:r w:rsidRPr="00B35158">
        <w:t xml:space="preserve"> and Dr. </w:t>
      </w:r>
      <w:proofErr w:type="spellStart"/>
      <w:r w:rsidRPr="00B35158">
        <w:t>Evgenia</w:t>
      </w:r>
      <w:proofErr w:type="spellEnd"/>
      <w:r w:rsidRPr="00B35158">
        <w:t xml:space="preserve"> </w:t>
      </w:r>
      <w:proofErr w:type="spellStart"/>
      <w:r w:rsidRPr="00B35158">
        <w:t>Kalinova</w:t>
      </w:r>
      <w:proofErr w:type="spellEnd"/>
      <w:r w:rsidRPr="00B35158">
        <w:t xml:space="preserve">, Department of History, University of Sofia “St. </w:t>
      </w:r>
      <w:proofErr w:type="spellStart"/>
      <w:r w:rsidRPr="00B35158">
        <w:t>Kliment</w:t>
      </w:r>
      <w:proofErr w:type="spellEnd"/>
      <w:r w:rsidRPr="00B35158">
        <w:t xml:space="preserve"> </w:t>
      </w:r>
      <w:proofErr w:type="spellStart"/>
      <w:r w:rsidRPr="00B35158">
        <w:t>Ohridski</w:t>
      </w:r>
      <w:proofErr w:type="spellEnd"/>
      <w:r w:rsidRPr="00B35158">
        <w:t xml:space="preserve">” Sofia, Bulgaria, July 11, 2012. </w:t>
      </w:r>
    </w:p>
  </w:endnote>
  <w:endnote w:id="7">
    <w:p w:rsidR="00BE78C6" w:rsidRDefault="00BE78C6" w:rsidP="00A86565">
      <w:pPr>
        <w:pStyle w:val="EndnoteText"/>
      </w:pPr>
      <w:r>
        <w:rPr>
          <w:rStyle w:val="EndnoteReference"/>
        </w:rPr>
        <w:endnoteRef/>
      </w:r>
      <w:r>
        <w:t xml:space="preserve"> Interview with </w:t>
      </w:r>
      <w:proofErr w:type="spellStart"/>
      <w:r w:rsidRPr="00B35158">
        <w:t>Dimitar</w:t>
      </w:r>
      <w:proofErr w:type="spellEnd"/>
      <w:r w:rsidRPr="00B35158">
        <w:t xml:space="preserve"> Markov, Senior Analyst/Project Direction, Law Program and Judicial Reform Unit, Center for the Study of Democracy, Sofia Bulgaria, July 2</w:t>
      </w:r>
      <w:r>
        <w:t>-4</w:t>
      </w:r>
      <w:r w:rsidRPr="00B35158">
        <w:t>, 2012</w:t>
      </w:r>
    </w:p>
  </w:endnote>
  <w:endnote w:id="8">
    <w:p w:rsidR="00BE78C6" w:rsidRPr="00B35158" w:rsidRDefault="00BE78C6" w:rsidP="00515E30">
      <w:pPr>
        <w:pStyle w:val="EndnoteText"/>
      </w:pPr>
      <w:r w:rsidRPr="00B35158">
        <w:rPr>
          <w:rStyle w:val="EndnoteReference"/>
        </w:rPr>
        <w:endnoteRef/>
      </w:r>
      <w:r w:rsidRPr="00B35158">
        <w:t xml:space="preserve"> </w:t>
      </w:r>
      <w:proofErr w:type="gramStart"/>
      <w:r w:rsidRPr="00B35158">
        <w:t xml:space="preserve">Interview with Dr. </w:t>
      </w:r>
      <w:proofErr w:type="spellStart"/>
      <w:r w:rsidRPr="00B35158">
        <w:t>Baeva</w:t>
      </w:r>
      <w:proofErr w:type="spellEnd"/>
      <w:r w:rsidRPr="00B35158">
        <w:t xml:space="preserve"> and Dr. </w:t>
      </w:r>
      <w:proofErr w:type="spellStart"/>
      <w:r w:rsidRPr="00B35158">
        <w:t>Kalinova</w:t>
      </w:r>
      <w:proofErr w:type="spellEnd"/>
      <w:r w:rsidRPr="00B35158">
        <w:t>.</w:t>
      </w:r>
      <w:proofErr w:type="gramEnd"/>
      <w:r w:rsidRPr="00B35158">
        <w:t xml:space="preserve"> </w:t>
      </w:r>
    </w:p>
  </w:endnote>
  <w:endnote w:id="9">
    <w:p w:rsidR="00BE78C6" w:rsidRPr="00B35158" w:rsidRDefault="00BE78C6" w:rsidP="00515E30">
      <w:pPr>
        <w:spacing w:after="0" w:line="240" w:lineRule="auto"/>
        <w:rPr>
          <w:rFonts w:cs="Times New Roman"/>
        </w:rPr>
      </w:pPr>
      <w:r w:rsidRPr="00B35158">
        <w:rPr>
          <w:rStyle w:val="EndnoteReference"/>
        </w:rPr>
        <w:endnoteRef/>
      </w:r>
      <w:r w:rsidRPr="00B35158">
        <w:t>The name of the Commission re</w:t>
      </w:r>
      <w:r>
        <w:t>flects the name of the director</w:t>
      </w:r>
      <w:r w:rsidRPr="00B35158">
        <w:t xml:space="preserve"> </w:t>
      </w:r>
      <w:r>
        <w:t>(</w:t>
      </w:r>
      <w:r w:rsidRPr="00B35158">
        <w:t xml:space="preserve">European Network </w:t>
      </w:r>
      <w:r>
        <w:t xml:space="preserve">2009, </w:t>
      </w:r>
      <w:r w:rsidRPr="00B35158">
        <w:t>6-15</w:t>
      </w:r>
      <w:r>
        <w:t>)</w:t>
      </w:r>
      <w:r w:rsidRPr="00B35158">
        <w:t>.</w:t>
      </w:r>
    </w:p>
  </w:endnote>
  <w:endnote w:id="10">
    <w:p w:rsidR="00BE78C6" w:rsidRPr="00B35158" w:rsidRDefault="00BE78C6" w:rsidP="00777D46">
      <w:pPr>
        <w:pStyle w:val="EndnoteText"/>
      </w:pPr>
      <w:r w:rsidRPr="00B35158">
        <w:rPr>
          <w:rStyle w:val="EndnoteReference"/>
        </w:rPr>
        <w:endnoteRef/>
      </w:r>
      <w:r w:rsidRPr="00B35158">
        <w:t xml:space="preserve"> While no figures on total individuals reviewed are available, this still constitutes a significant increase in files and individuals reviewed. Bulgarian Dossier Commission, “</w:t>
      </w:r>
      <w:proofErr w:type="spellStart"/>
      <w:r w:rsidRPr="00B35158">
        <w:t>Obobtsheni</w:t>
      </w:r>
      <w:proofErr w:type="spellEnd"/>
      <w:r w:rsidRPr="00B35158">
        <w:t xml:space="preserve"> Danni </w:t>
      </w:r>
      <w:proofErr w:type="spellStart"/>
      <w:r w:rsidRPr="00B35158">
        <w:t>za</w:t>
      </w:r>
      <w:proofErr w:type="spellEnd"/>
      <w:r w:rsidRPr="00B35158">
        <w:t xml:space="preserve"> </w:t>
      </w:r>
      <w:proofErr w:type="spellStart"/>
      <w:r w:rsidRPr="00B35158">
        <w:t>deinostta</w:t>
      </w:r>
      <w:proofErr w:type="spellEnd"/>
      <w:r w:rsidRPr="00B35158">
        <w:t xml:space="preserve"> </w:t>
      </w:r>
      <w:proofErr w:type="spellStart"/>
      <w:proofErr w:type="gramStart"/>
      <w:r w:rsidRPr="00B35158">
        <w:t>na</w:t>
      </w:r>
      <w:proofErr w:type="spellEnd"/>
      <w:proofErr w:type="gramEnd"/>
      <w:r w:rsidRPr="00B35158">
        <w:t xml:space="preserve"> KRD </w:t>
      </w:r>
      <w:proofErr w:type="spellStart"/>
      <w:r w:rsidRPr="00B35158">
        <w:t>Opgdsrsna</w:t>
      </w:r>
      <w:proofErr w:type="spellEnd"/>
      <w:r w:rsidRPr="00B35158">
        <w:t xml:space="preserve"> </w:t>
      </w:r>
      <w:proofErr w:type="spellStart"/>
      <w:r w:rsidRPr="00B35158">
        <w:t>ot</w:t>
      </w:r>
      <w:proofErr w:type="spellEnd"/>
      <w:r w:rsidRPr="00B35158">
        <w:t xml:space="preserve"> 5 </w:t>
      </w:r>
      <w:proofErr w:type="spellStart"/>
      <w:r w:rsidRPr="00B35158">
        <w:t>april</w:t>
      </w:r>
      <w:proofErr w:type="spellEnd"/>
      <w:r w:rsidRPr="00B35158">
        <w:t xml:space="preserve"> 2007 g. do 1 </w:t>
      </w:r>
      <w:proofErr w:type="spellStart"/>
      <w:r w:rsidRPr="00B35158">
        <w:t>dekembri</w:t>
      </w:r>
      <w:proofErr w:type="spellEnd"/>
      <w:r w:rsidRPr="00B35158">
        <w:t xml:space="preserve"> 2011 g. (Summary of Activities 5 April 2007-1 December 2011) </w:t>
      </w:r>
      <w:hyperlink r:id="rId1" w:history="1">
        <w:r w:rsidRPr="00BA2EA5">
          <w:rPr>
            <w:rStyle w:val="Hyperlink"/>
          </w:rPr>
          <w:t>http://www.comdos.bg/Доклади_пред_Народното_събрание</w:t>
        </w:r>
      </w:hyperlink>
      <w:r>
        <w:t>, accessed December 5, 2013.</w:t>
      </w:r>
    </w:p>
  </w:endnote>
  <w:endnote w:id="11">
    <w:p w:rsidR="00BE78C6" w:rsidRPr="00B35158" w:rsidRDefault="00BE78C6" w:rsidP="00B31D6B">
      <w:pPr>
        <w:pStyle w:val="EndnoteText"/>
      </w:pPr>
      <w:r w:rsidRPr="00B35158">
        <w:rPr>
          <w:rStyle w:val="EndnoteReference"/>
        </w:rPr>
        <w:endnoteRef/>
      </w:r>
      <w:r w:rsidRPr="00B35158">
        <w:t xml:space="preserve"> </w:t>
      </w:r>
      <w:r>
        <w:t>Note</w:t>
      </w:r>
      <w:proofErr w:type="gramStart"/>
      <w:r>
        <w:t>,</w:t>
      </w:r>
      <w:proofErr w:type="gramEnd"/>
      <w:r>
        <w:t xml:space="preserve"> the National Assembly is the unicameral parliament and chief legislative body in Bulgaria. </w:t>
      </w:r>
      <w:r w:rsidRPr="00B35158">
        <w:t xml:space="preserve">“Members of the Committee,” Dossier Commission, </w:t>
      </w:r>
      <w:hyperlink r:id="rId2" w:history="1">
        <w:r w:rsidRPr="00B35158">
          <w:rPr>
            <w:rStyle w:val="Hyperlink"/>
            <w:color w:val="auto"/>
          </w:rPr>
          <w:t>http://www.comdos.bg/Състав_на_комисията</w:t>
        </w:r>
      </w:hyperlink>
      <w:r w:rsidRPr="00B35158">
        <w:t xml:space="preserve">, accessed August 20, 2013. </w:t>
      </w:r>
    </w:p>
  </w:endnote>
  <w:endnote w:id="12">
    <w:p w:rsidR="00BE78C6" w:rsidRPr="00B35158" w:rsidRDefault="00BE78C6">
      <w:pPr>
        <w:pStyle w:val="EndnoteText"/>
      </w:pPr>
      <w:r w:rsidRPr="00B35158">
        <w:rPr>
          <w:rStyle w:val="EndnoteReference"/>
        </w:rPr>
        <w:endnoteRef/>
      </w:r>
      <w:r w:rsidRPr="00B35158">
        <w:t xml:space="preserve"> </w:t>
      </w:r>
      <w:proofErr w:type="gramStart"/>
      <w:r>
        <w:t>I</w:t>
      </w:r>
      <w:r w:rsidRPr="00B35158">
        <w:t xml:space="preserve">nterview with Chairman </w:t>
      </w:r>
      <w:proofErr w:type="spellStart"/>
      <w:r w:rsidRPr="00B35158">
        <w:t>Kostadinov</w:t>
      </w:r>
      <w:proofErr w:type="spellEnd"/>
      <w:r w:rsidRPr="00B35158">
        <w:t>.</w:t>
      </w:r>
      <w:proofErr w:type="gramEnd"/>
    </w:p>
  </w:endnote>
  <w:endnote w:id="13">
    <w:p w:rsidR="00BE78C6" w:rsidRDefault="00BE78C6" w:rsidP="00474B74">
      <w:pPr>
        <w:pStyle w:val="EndnoteText"/>
      </w:pPr>
      <w:r>
        <w:rPr>
          <w:rStyle w:val="EndnoteReference"/>
        </w:rPr>
        <w:endnoteRef/>
      </w:r>
      <w:r>
        <w:t xml:space="preserve"> Interview Alexander </w:t>
      </w:r>
      <w:proofErr w:type="spellStart"/>
      <w:r>
        <w:t>Stoyanov</w:t>
      </w:r>
      <w:proofErr w:type="spellEnd"/>
      <w:r>
        <w:t xml:space="preserve">, Director of Research </w:t>
      </w:r>
      <w:proofErr w:type="spellStart"/>
      <w:r>
        <w:t>Vitosha</w:t>
      </w:r>
      <w:proofErr w:type="spellEnd"/>
      <w:r>
        <w:t xml:space="preserve">, Sofia Bulgaria, </w:t>
      </w:r>
      <w:proofErr w:type="gramStart"/>
      <w:r>
        <w:t>July</w:t>
      </w:r>
      <w:proofErr w:type="gramEnd"/>
      <w:r>
        <w:t xml:space="preserve"> 5, 2012.</w:t>
      </w:r>
    </w:p>
  </w:endnote>
  <w:endnote w:id="14">
    <w:p w:rsidR="00BE78C6" w:rsidRDefault="00BE78C6">
      <w:pPr>
        <w:pStyle w:val="EndnoteText"/>
      </w:pPr>
      <w:r>
        <w:rPr>
          <w:rStyle w:val="EndnoteReference"/>
        </w:rPr>
        <w:endnoteRef/>
      </w:r>
      <w:r>
        <w:t xml:space="preserve"> </w:t>
      </w:r>
      <w:proofErr w:type="gramStart"/>
      <w:r w:rsidRPr="00B35158">
        <w:t>Interview wi</w:t>
      </w:r>
      <w:r>
        <w:t xml:space="preserve">th Dr. </w:t>
      </w:r>
      <w:proofErr w:type="spellStart"/>
      <w:r>
        <w:t>Baeva</w:t>
      </w:r>
      <w:proofErr w:type="spellEnd"/>
      <w:r>
        <w:t xml:space="preserve"> and Dr. </w:t>
      </w:r>
      <w:proofErr w:type="spellStart"/>
      <w:r>
        <w:t>Kalinova</w:t>
      </w:r>
      <w:proofErr w:type="spellEnd"/>
      <w:r>
        <w:t>.</w:t>
      </w:r>
      <w:proofErr w:type="gramEnd"/>
      <w:r>
        <w:t xml:space="preserve"> Although both thought the Commission was credibly implementing its job, each thought that association with the files and the process of file accountability was unsavory and politically complicated.</w:t>
      </w:r>
    </w:p>
  </w:endnote>
  <w:endnote w:id="15">
    <w:p w:rsidR="00BE78C6" w:rsidRDefault="00BE78C6" w:rsidP="00815E3B">
      <w:pPr>
        <w:pStyle w:val="EndnoteText"/>
      </w:pPr>
      <w:r>
        <w:rPr>
          <w:rStyle w:val="EndnoteReference"/>
        </w:rPr>
        <w:endnoteRef/>
      </w:r>
      <w:r>
        <w:t xml:space="preserve"> </w:t>
      </w:r>
      <w:proofErr w:type="gramStart"/>
      <w:r>
        <w:t xml:space="preserve">Interview with Mr. Markov and Dr. </w:t>
      </w:r>
      <w:proofErr w:type="spellStart"/>
      <w:r>
        <w:t>Stoyanov</w:t>
      </w:r>
      <w:proofErr w:type="spellEnd"/>
      <w:r>
        <w:t>.</w:t>
      </w:r>
      <w:proofErr w:type="gramEnd"/>
      <w:r>
        <w:t xml:space="preserve"> </w:t>
      </w:r>
    </w:p>
  </w:endnote>
  <w:endnote w:id="16">
    <w:p w:rsidR="00BE78C6" w:rsidRPr="00B35158" w:rsidRDefault="00BE78C6" w:rsidP="00B31D6B">
      <w:pPr>
        <w:pStyle w:val="EndnoteText"/>
      </w:pPr>
      <w:r w:rsidRPr="00B35158">
        <w:rPr>
          <w:rStyle w:val="EndnoteReference"/>
        </w:rPr>
        <w:endnoteRef/>
      </w:r>
      <w:r w:rsidRPr="00B35158">
        <w:t xml:space="preserve"> See Article</w:t>
      </w:r>
      <w:r>
        <w:t>s</w:t>
      </w:r>
      <w:r w:rsidRPr="00B35158">
        <w:t xml:space="preserve"> A2 and 12 of the </w:t>
      </w:r>
      <w:r w:rsidRPr="00B35158">
        <w:rPr>
          <w:i/>
        </w:rPr>
        <w:t>Law for Access and Disclosure of the Documents</w:t>
      </w:r>
      <w:r w:rsidRPr="00B35158">
        <w:t>.</w:t>
      </w:r>
    </w:p>
  </w:endnote>
  <w:endnote w:id="17">
    <w:p w:rsidR="00BE78C6" w:rsidRPr="00B35158" w:rsidRDefault="00BE78C6" w:rsidP="009E26FB">
      <w:pPr>
        <w:autoSpaceDE w:val="0"/>
        <w:autoSpaceDN w:val="0"/>
        <w:adjustRightInd w:val="0"/>
        <w:spacing w:after="0" w:line="240" w:lineRule="auto"/>
        <w:jc w:val="both"/>
        <w:rPr>
          <w:i/>
          <w:iCs/>
        </w:rPr>
      </w:pPr>
      <w:r w:rsidRPr="00B35158">
        <w:rPr>
          <w:rStyle w:val="EndnoteReference"/>
        </w:rPr>
        <w:endnoteRef/>
      </w:r>
      <w:r w:rsidRPr="00B35158">
        <w:t xml:space="preserve"> </w:t>
      </w:r>
      <w:r w:rsidRPr="00B35158">
        <w:rPr>
          <w:i/>
        </w:rPr>
        <w:t>Letter from</w:t>
      </w:r>
      <w:r w:rsidRPr="00B35158">
        <w:t xml:space="preserve"> </w:t>
      </w:r>
      <w:r w:rsidRPr="00B35158">
        <w:rPr>
          <w:i/>
          <w:iCs/>
        </w:rPr>
        <w:t xml:space="preserve">Chairman of the committee: </w:t>
      </w:r>
      <w:proofErr w:type="spellStart"/>
      <w:r w:rsidRPr="00B35158">
        <w:rPr>
          <w:i/>
          <w:iCs/>
        </w:rPr>
        <w:t>Evtim</w:t>
      </w:r>
      <w:proofErr w:type="spellEnd"/>
      <w:r w:rsidRPr="00B35158">
        <w:rPr>
          <w:i/>
          <w:iCs/>
        </w:rPr>
        <w:t xml:space="preserve"> </w:t>
      </w:r>
      <w:proofErr w:type="spellStart"/>
      <w:r w:rsidRPr="00B35158">
        <w:rPr>
          <w:i/>
          <w:iCs/>
        </w:rPr>
        <w:t>Kostadinov</w:t>
      </w:r>
      <w:proofErr w:type="spellEnd"/>
      <w:r w:rsidRPr="00B35158">
        <w:rPr>
          <w:i/>
          <w:iCs/>
        </w:rPr>
        <w:t>.</w:t>
      </w:r>
      <w:r w:rsidRPr="00B35158">
        <w:rPr>
          <w:iCs/>
        </w:rPr>
        <w:t xml:space="preserve"> Bulgarian Dossier Commission, </w:t>
      </w:r>
    </w:p>
    <w:p w:rsidR="00BE78C6" w:rsidRPr="00B35158" w:rsidRDefault="00121A1C" w:rsidP="009E26FB">
      <w:pPr>
        <w:spacing w:after="0" w:line="240" w:lineRule="auto"/>
        <w:jc w:val="both"/>
      </w:pPr>
      <w:hyperlink r:id="rId3" w:history="1">
        <w:r w:rsidR="00BE78C6" w:rsidRPr="00B35158">
          <w:rPr>
            <w:rStyle w:val="Hyperlink"/>
          </w:rPr>
          <w:t>http://www.comdos.bg/media/Nashite%20izdania/spisanie-2-final-(9).pdf</w:t>
        </w:r>
      </w:hyperlink>
      <w:r w:rsidR="00BE78C6" w:rsidRPr="00B35158">
        <w:t xml:space="preserve">, accessed August 1, 2012. </w:t>
      </w:r>
    </w:p>
  </w:endnote>
  <w:endnote w:id="18">
    <w:p w:rsidR="00BE78C6" w:rsidRPr="00B35158" w:rsidRDefault="00BE78C6" w:rsidP="009E26FB">
      <w:pPr>
        <w:autoSpaceDE w:val="0"/>
        <w:autoSpaceDN w:val="0"/>
        <w:adjustRightInd w:val="0"/>
        <w:spacing w:after="0" w:line="240" w:lineRule="auto"/>
        <w:rPr>
          <w:rFonts w:cs="Times New Roman"/>
        </w:rPr>
      </w:pPr>
      <w:r w:rsidRPr="00B35158">
        <w:rPr>
          <w:rStyle w:val="EndnoteReference"/>
        </w:rPr>
        <w:endnoteRef/>
      </w:r>
      <w:r w:rsidRPr="00B35158">
        <w:t xml:space="preserve"> For example, see Constitutional Court Decision No. 820/2010</w:t>
      </w:r>
      <w:r w:rsidRPr="00B35158">
        <w:rPr>
          <w:rFonts w:cs="Times New Roman"/>
        </w:rPr>
        <w:t>.</w:t>
      </w:r>
    </w:p>
  </w:endnote>
  <w:endnote w:id="19">
    <w:p w:rsidR="00BE78C6" w:rsidRPr="00B35158" w:rsidRDefault="00BE78C6" w:rsidP="006A4FD8">
      <w:pPr>
        <w:pStyle w:val="EndnoteText"/>
      </w:pPr>
      <w:r w:rsidRPr="00B35158">
        <w:rPr>
          <w:rStyle w:val="EndnoteReference"/>
        </w:rPr>
        <w:endnoteRef/>
      </w:r>
      <w:r w:rsidRPr="00B35158">
        <w:t xml:space="preserve"> </w:t>
      </w:r>
      <w:hyperlink r:id="rId4" w:history="1">
        <w:r w:rsidRPr="00B35158">
          <w:rPr>
            <w:rStyle w:val="Hyperlink"/>
          </w:rPr>
          <w:t>http://lege5.ro/Gratuit/gmzdqnzthe/law-nr-187-1999-on-the-access-to-the-personal-file-and-the-disclosure-of-the-securitate-as-a-political-police</w:t>
        </w:r>
      </w:hyperlink>
      <w:r w:rsidRPr="00B35158">
        <w:t>, accessed January 25, 2014.</w:t>
      </w:r>
    </w:p>
  </w:endnote>
  <w:endnote w:id="20">
    <w:p w:rsidR="006027F0" w:rsidRPr="00B35158" w:rsidRDefault="006027F0" w:rsidP="006027F0">
      <w:pPr>
        <w:pStyle w:val="EndnoteText"/>
      </w:pPr>
      <w:r w:rsidRPr="00B35158">
        <w:rPr>
          <w:rStyle w:val="EndnoteReference"/>
        </w:rPr>
        <w:endnoteRef/>
      </w:r>
      <w:r w:rsidRPr="00B35158">
        <w:t xml:space="preserve"> </w:t>
      </w:r>
      <w:r>
        <w:t>For</w:t>
      </w:r>
      <w:r w:rsidRPr="00B35158">
        <w:t xml:space="preserve"> additional information on the </w:t>
      </w:r>
      <w:r>
        <w:t>CNSAS</w:t>
      </w:r>
      <w:r w:rsidRPr="00B35158">
        <w:t xml:space="preserve">, see </w:t>
      </w:r>
      <w:hyperlink r:id="rId5" w:history="1">
        <w:r w:rsidRPr="00B35158">
          <w:rPr>
            <w:rStyle w:val="Hyperlink"/>
          </w:rPr>
          <w:t>http://www.cnsas.ro/</w:t>
        </w:r>
      </w:hyperlink>
      <w:r w:rsidRPr="00B35158">
        <w:t>, accessed February 4, 2014.</w:t>
      </w:r>
    </w:p>
  </w:endnote>
  <w:endnote w:id="21">
    <w:p w:rsidR="006027F0" w:rsidRPr="00B35158" w:rsidRDefault="006027F0" w:rsidP="006027F0">
      <w:pPr>
        <w:pStyle w:val="EndnoteText"/>
      </w:pPr>
      <w:r w:rsidRPr="00B35158">
        <w:rPr>
          <w:rStyle w:val="EndnoteReference"/>
        </w:rPr>
        <w:endnoteRef/>
      </w:r>
      <w:r w:rsidRPr="00B35158">
        <w:t xml:space="preserve"> </w:t>
      </w:r>
      <w:r w:rsidRPr="00B35158">
        <w:rPr>
          <w:color w:val="000000"/>
        </w:rPr>
        <w:t xml:space="preserve">Dr. Gabriel </w:t>
      </w:r>
      <w:proofErr w:type="spellStart"/>
      <w:r w:rsidRPr="00B35158">
        <w:rPr>
          <w:color w:val="000000"/>
        </w:rPr>
        <w:t>Andreescu</w:t>
      </w:r>
      <w:proofErr w:type="spellEnd"/>
      <w:r w:rsidRPr="00B35158">
        <w:rPr>
          <w:color w:val="000000"/>
        </w:rPr>
        <w:t xml:space="preserve">, </w:t>
      </w:r>
      <w:r w:rsidRPr="00B35158">
        <w:t xml:space="preserve">former dissident and now university professor, explained that he found falsifications in his personal file. </w:t>
      </w:r>
      <w:proofErr w:type="gramStart"/>
      <w:r w:rsidRPr="00B35158">
        <w:t xml:space="preserve">Author interview, </w:t>
      </w:r>
      <w:proofErr w:type="spellStart"/>
      <w:r w:rsidRPr="00B35158">
        <w:t>Şcolii</w:t>
      </w:r>
      <w:proofErr w:type="spellEnd"/>
      <w:r w:rsidRPr="00B35158">
        <w:t xml:space="preserve"> </w:t>
      </w:r>
      <w:proofErr w:type="spellStart"/>
      <w:r w:rsidRPr="00B35158">
        <w:t>Naţionale</w:t>
      </w:r>
      <w:proofErr w:type="spellEnd"/>
      <w:r w:rsidRPr="00B35158">
        <w:t xml:space="preserve"> de </w:t>
      </w:r>
      <w:proofErr w:type="spellStart"/>
      <w:r w:rsidRPr="00B35158">
        <w:t>Studii</w:t>
      </w:r>
      <w:proofErr w:type="spellEnd"/>
      <w:r w:rsidRPr="00B35158">
        <w:t xml:space="preserve"> </w:t>
      </w:r>
      <w:proofErr w:type="spellStart"/>
      <w:r w:rsidRPr="00B35158">
        <w:t>Politice</w:t>
      </w:r>
      <w:proofErr w:type="spellEnd"/>
      <w:r w:rsidRPr="00B35158">
        <w:t xml:space="preserve"> </w:t>
      </w:r>
      <w:proofErr w:type="spellStart"/>
      <w:r w:rsidRPr="00B35158">
        <w:t>şi</w:t>
      </w:r>
      <w:proofErr w:type="spellEnd"/>
      <w:r w:rsidRPr="00B35158">
        <w:t xml:space="preserve"> Administrative, Bucharest, Romania, October 10, 2012.</w:t>
      </w:r>
      <w:proofErr w:type="gramEnd"/>
      <w:r w:rsidRPr="00B35158">
        <w:t xml:space="preserve"> </w:t>
      </w:r>
      <w:r>
        <w:t xml:space="preserve">  </w:t>
      </w:r>
      <w:r w:rsidRPr="00B35158">
        <w:rPr>
          <w:color w:val="000000"/>
        </w:rPr>
        <w:t xml:space="preserve">Dr. </w:t>
      </w:r>
      <w:proofErr w:type="spellStart"/>
      <w:r w:rsidRPr="00B35158">
        <w:rPr>
          <w:color w:val="000000"/>
        </w:rPr>
        <w:t>Petrescu</w:t>
      </w:r>
      <w:proofErr w:type="spellEnd"/>
      <w:r w:rsidRPr="00B35158">
        <w:rPr>
          <w:color w:val="000000"/>
        </w:rPr>
        <w:t xml:space="preserve"> said the most common complaint is that people think their files should be larger and conclude that information must have been destroyed because the files are not more substantial.  A common struggle remains simply proving to people that their file is intact. </w:t>
      </w:r>
      <w:proofErr w:type="gramStart"/>
      <w:r w:rsidRPr="00B35158">
        <w:rPr>
          <w:color w:val="000000"/>
        </w:rPr>
        <w:t>Personal interview.</w:t>
      </w:r>
      <w:proofErr w:type="gramEnd"/>
    </w:p>
  </w:endnote>
  <w:endnote w:id="22">
    <w:p w:rsidR="006027F0" w:rsidRPr="00B35158" w:rsidRDefault="006027F0" w:rsidP="006027F0">
      <w:pPr>
        <w:pStyle w:val="EndnoteText"/>
      </w:pPr>
      <w:r w:rsidRPr="00B35158">
        <w:rPr>
          <w:rStyle w:val="EndnoteReference"/>
        </w:rPr>
        <w:endnoteRef/>
      </w:r>
      <w:r w:rsidRPr="00B35158">
        <w:t xml:space="preserve"> </w:t>
      </w:r>
      <w:proofErr w:type="gramStart"/>
      <w:r w:rsidRPr="00B35158">
        <w:rPr>
          <w:color w:val="000000"/>
        </w:rPr>
        <w:t xml:space="preserve">Interview with Dr. </w:t>
      </w:r>
      <w:proofErr w:type="spellStart"/>
      <w:r w:rsidRPr="00B35158">
        <w:rPr>
          <w:color w:val="000000"/>
        </w:rPr>
        <w:t>Andreescu</w:t>
      </w:r>
      <w:proofErr w:type="spellEnd"/>
      <w:r w:rsidRPr="00B35158">
        <w:rPr>
          <w:color w:val="000000"/>
        </w:rPr>
        <w:t>.</w:t>
      </w:r>
      <w:proofErr w:type="gramEnd"/>
    </w:p>
  </w:endnote>
  <w:endnote w:id="23">
    <w:p w:rsidR="004644BC" w:rsidRPr="00B35158" w:rsidRDefault="004644BC" w:rsidP="004644BC">
      <w:pPr>
        <w:spacing w:after="0" w:line="240" w:lineRule="auto"/>
      </w:pPr>
      <w:r w:rsidRPr="00B35158">
        <w:rPr>
          <w:rStyle w:val="EndnoteReference"/>
        </w:rPr>
        <w:endnoteRef/>
      </w:r>
      <w:r w:rsidRPr="00B35158">
        <w:t xml:space="preserve"> </w:t>
      </w:r>
      <w:r w:rsidRPr="00B35158">
        <w:rPr>
          <w:rFonts w:cs="Times New Roman"/>
          <w:color w:val="000000"/>
        </w:rPr>
        <w:t xml:space="preserve">Parliament passed </w:t>
      </w:r>
      <w:r w:rsidRPr="00B35158">
        <w:rPr>
          <w:rFonts w:eastAsia="Times New Roman" w:cs="Times New Roman"/>
          <w:color w:val="000000"/>
        </w:rPr>
        <w:t xml:space="preserve">Emergency Ordinance No. 16 (2006) which </w:t>
      </w:r>
      <w:r w:rsidRPr="00B35158">
        <w:rPr>
          <w:rFonts w:cs="Times New Roman"/>
          <w:color w:val="000000"/>
        </w:rPr>
        <w:t xml:space="preserve">expanded the scope of the </w:t>
      </w:r>
      <w:r w:rsidRPr="00B35158">
        <w:rPr>
          <w:rFonts w:eastAsia="Times New Roman" w:cs="Times New Roman"/>
          <w:color w:val="000000"/>
        </w:rPr>
        <w:t>existing "lustration" law (187/1999) and specified a wider range of positions to be lustrated</w:t>
      </w:r>
      <w:r>
        <w:rPr>
          <w:color w:val="000000"/>
        </w:rPr>
        <w:t xml:space="preserve"> (</w:t>
      </w:r>
      <w:proofErr w:type="spellStart"/>
      <w:r w:rsidRPr="00B35158">
        <w:t>Leśkiewicz</w:t>
      </w:r>
      <w:proofErr w:type="spellEnd"/>
      <w:r w:rsidRPr="00B35158">
        <w:t xml:space="preserve"> and </w:t>
      </w:r>
      <w:proofErr w:type="spellStart"/>
      <w:r>
        <w:t>Žáček</w:t>
      </w:r>
      <w:proofErr w:type="spellEnd"/>
      <w:r>
        <w:t xml:space="preserve"> 2013, </w:t>
      </w:r>
      <w:r w:rsidRPr="00B35158">
        <w:t>226</w:t>
      </w:r>
      <w:r>
        <w:t>)</w:t>
      </w:r>
      <w:r w:rsidRPr="00B35158">
        <w:t>.</w:t>
      </w:r>
    </w:p>
  </w:endnote>
  <w:endnote w:id="24">
    <w:p w:rsidR="00BE78C6" w:rsidRPr="00B35158" w:rsidRDefault="00BE78C6" w:rsidP="0010625B">
      <w:pPr>
        <w:spacing w:after="0" w:line="240" w:lineRule="auto"/>
        <w:rPr>
          <w:rFonts w:cs="Times New Roman"/>
        </w:rPr>
      </w:pPr>
      <w:r w:rsidRPr="00B35158">
        <w:rPr>
          <w:rStyle w:val="EndnoteReference"/>
          <w:rFonts w:cs="Times New Roman"/>
        </w:rPr>
        <w:endnoteRef/>
      </w:r>
      <w:r w:rsidRPr="00B35158">
        <w:rPr>
          <w:rFonts w:cs="Times New Roman"/>
        </w:rPr>
        <w:t xml:space="preserve"> </w:t>
      </w:r>
      <w:r w:rsidRPr="00B35158">
        <w:rPr>
          <w:rFonts w:eastAsia="Times New Roman" w:cs="Times New Roman"/>
        </w:rPr>
        <w:t>Romanian Constitutional Court (</w:t>
      </w:r>
      <w:proofErr w:type="spellStart"/>
      <w:r w:rsidRPr="00B35158">
        <w:rPr>
          <w:rFonts w:eastAsia="Times New Roman" w:cs="Times New Roman"/>
        </w:rPr>
        <w:t>Curtea</w:t>
      </w:r>
      <w:proofErr w:type="spellEnd"/>
      <w:r w:rsidRPr="00B35158">
        <w:rPr>
          <w:rFonts w:eastAsia="Times New Roman" w:cs="Times New Roman"/>
        </w:rPr>
        <w:t xml:space="preserve"> </w:t>
      </w:r>
      <w:proofErr w:type="spellStart"/>
      <w:r w:rsidRPr="00B35158">
        <w:rPr>
          <w:rFonts w:eastAsia="Times New Roman" w:cs="Times New Roman"/>
        </w:rPr>
        <w:t>Constiţutională</w:t>
      </w:r>
      <w:proofErr w:type="spellEnd"/>
      <w:r w:rsidRPr="00B35158">
        <w:rPr>
          <w:rFonts w:eastAsia="Times New Roman" w:cs="Times New Roman"/>
        </w:rPr>
        <w:t xml:space="preserve"> a </w:t>
      </w:r>
      <w:proofErr w:type="spellStart"/>
      <w:r w:rsidRPr="00B35158">
        <w:rPr>
          <w:rFonts w:eastAsia="Times New Roman" w:cs="Times New Roman"/>
        </w:rPr>
        <w:t>României</w:t>
      </w:r>
      <w:proofErr w:type="spellEnd"/>
      <w:r w:rsidRPr="00B35158">
        <w:rPr>
          <w:rFonts w:eastAsia="Times New Roman" w:cs="Times New Roman"/>
        </w:rPr>
        <w:t>) Decision No. 51 of 31 January 2008, declaring Law 187/1999 unconstitutional</w:t>
      </w:r>
      <w:r w:rsidRPr="00B35158">
        <w:rPr>
          <w:rFonts w:cs="Times New Roman"/>
        </w:rPr>
        <w:t>.</w:t>
      </w:r>
    </w:p>
  </w:endnote>
  <w:endnote w:id="25">
    <w:p w:rsidR="00BE78C6" w:rsidRPr="00B35158" w:rsidRDefault="00BE78C6" w:rsidP="0010625B">
      <w:pPr>
        <w:pStyle w:val="EndnoteText"/>
      </w:pPr>
      <w:r w:rsidRPr="00B35158">
        <w:rPr>
          <w:rStyle w:val="EndnoteReference"/>
        </w:rPr>
        <w:endnoteRef/>
      </w:r>
      <w:r w:rsidRPr="00B35158">
        <w:t xml:space="preserve"> </w:t>
      </w:r>
      <w:proofErr w:type="gramStart"/>
      <w:r w:rsidRPr="00B35158">
        <w:t>Author i</w:t>
      </w:r>
      <w:r w:rsidRPr="00B35158">
        <w:rPr>
          <w:color w:val="000000"/>
        </w:rPr>
        <w:t xml:space="preserve">nterview with Dr. Adrian </w:t>
      </w:r>
      <w:proofErr w:type="spellStart"/>
      <w:r w:rsidRPr="00B35158">
        <w:rPr>
          <w:color w:val="000000"/>
        </w:rPr>
        <w:t>Cioflâncă</w:t>
      </w:r>
      <w:proofErr w:type="spellEnd"/>
      <w:r w:rsidRPr="00B35158">
        <w:rPr>
          <w:color w:val="000000"/>
        </w:rPr>
        <w:t>, Member of the Collegium, C.N.S.A.S., Bucharest, Romania October 17, 2012.</w:t>
      </w:r>
      <w:proofErr w:type="gramEnd"/>
    </w:p>
  </w:endnote>
  <w:endnote w:id="26">
    <w:p w:rsidR="00BE78C6" w:rsidRPr="00B35158" w:rsidRDefault="00BE78C6" w:rsidP="0010625B">
      <w:pPr>
        <w:pStyle w:val="EndnoteText"/>
      </w:pPr>
      <w:r w:rsidRPr="00B35158">
        <w:rPr>
          <w:rStyle w:val="EndnoteReference"/>
        </w:rPr>
        <w:endnoteRef/>
      </w:r>
      <w:r w:rsidRPr="00B35158">
        <w:t xml:space="preserve"> </w:t>
      </w:r>
      <w:proofErr w:type="gramStart"/>
      <w:r w:rsidRPr="00B35158">
        <w:t xml:space="preserve">Author </w:t>
      </w:r>
      <w:r>
        <w:rPr>
          <w:color w:val="000000"/>
        </w:rPr>
        <w:t xml:space="preserve">interview with Dr. </w:t>
      </w:r>
      <w:proofErr w:type="spellStart"/>
      <w:r w:rsidRPr="00B35158">
        <w:rPr>
          <w:color w:val="000000"/>
        </w:rPr>
        <w:t>Cioflâncă</w:t>
      </w:r>
      <w:proofErr w:type="spellEnd"/>
      <w:r w:rsidRPr="00B35158">
        <w:rPr>
          <w:color w:val="000000"/>
        </w:rPr>
        <w:t>.</w:t>
      </w:r>
      <w:proofErr w:type="gramEnd"/>
    </w:p>
  </w:endnote>
  <w:endnote w:id="27">
    <w:p w:rsidR="00BE78C6" w:rsidRPr="00B35158" w:rsidRDefault="00BE78C6" w:rsidP="008D271E">
      <w:pPr>
        <w:pStyle w:val="EndnoteText"/>
      </w:pPr>
      <w:r w:rsidRPr="00B35158">
        <w:rPr>
          <w:rStyle w:val="EndnoteReference"/>
        </w:rPr>
        <w:endnoteRef/>
      </w:r>
      <w:proofErr w:type="gramStart"/>
      <w:r>
        <w:t>Author</w:t>
      </w:r>
      <w:r w:rsidRPr="00B35158">
        <w:t xml:space="preserve"> interview with Dr. </w:t>
      </w:r>
      <w:proofErr w:type="spellStart"/>
      <w:r w:rsidRPr="00B35158">
        <w:t>András</w:t>
      </w:r>
      <w:proofErr w:type="spellEnd"/>
      <w:r w:rsidRPr="00B35158">
        <w:t xml:space="preserve"> </w:t>
      </w:r>
      <w:proofErr w:type="spellStart"/>
      <w:r w:rsidRPr="00B35158">
        <w:t>Bozóki</w:t>
      </w:r>
      <w:proofErr w:type="spellEnd"/>
      <w:r w:rsidRPr="00B35158">
        <w:t>, Professor Department of Political Science, Central European University, Budapest Hungary, April 2, 2013.</w:t>
      </w:r>
      <w:proofErr w:type="gramEnd"/>
    </w:p>
  </w:endnote>
  <w:endnote w:id="28">
    <w:p w:rsidR="00BE78C6" w:rsidRPr="00B35158" w:rsidRDefault="00BE78C6" w:rsidP="00027728">
      <w:pPr>
        <w:spacing w:after="0" w:line="240" w:lineRule="auto"/>
        <w:rPr>
          <w:rFonts w:cs="Times New Roman"/>
        </w:rPr>
      </w:pPr>
      <w:r w:rsidRPr="00B35158">
        <w:rPr>
          <w:rStyle w:val="EndnoteReference"/>
        </w:rPr>
        <w:endnoteRef/>
      </w:r>
      <w:r w:rsidRPr="00B35158">
        <w:rPr>
          <w:rFonts w:cs="Times New Roman"/>
        </w:rPr>
        <w:t xml:space="preserve"> </w:t>
      </w:r>
      <w:proofErr w:type="gramStart"/>
      <w:r w:rsidRPr="00B35158">
        <w:t xml:space="preserve">Interview with Chairman </w:t>
      </w:r>
      <w:proofErr w:type="spellStart"/>
      <w:r w:rsidRPr="00B35158">
        <w:t>Kostadinov</w:t>
      </w:r>
      <w:proofErr w:type="spellEnd"/>
      <w:r w:rsidRPr="00B35158">
        <w:rPr>
          <w:rFonts w:cs="Times New Roman"/>
        </w:rPr>
        <w:t>.</w:t>
      </w:r>
      <w:proofErr w:type="gramEnd"/>
      <w:r w:rsidRPr="00B35158">
        <w:rPr>
          <w:rFonts w:cs="Times New Roman"/>
        </w:rPr>
        <w:t xml:space="preserve"> </w:t>
      </w:r>
    </w:p>
  </w:endnote>
  <w:endnote w:id="29">
    <w:p w:rsidR="00BE78C6" w:rsidRPr="00B35158" w:rsidRDefault="00BE78C6" w:rsidP="00027728">
      <w:pPr>
        <w:pStyle w:val="EndnoteText"/>
      </w:pPr>
      <w:r w:rsidRPr="00B35158">
        <w:rPr>
          <w:rStyle w:val="EndnoteReference"/>
        </w:rPr>
        <w:endnoteRef/>
      </w:r>
      <w:r>
        <w:t xml:space="preserve"> </w:t>
      </w:r>
      <w:proofErr w:type="gramStart"/>
      <w:r>
        <w:t xml:space="preserve">Interview with </w:t>
      </w:r>
      <w:proofErr w:type="spellStart"/>
      <w:r>
        <w:t>Dr.</w:t>
      </w:r>
      <w:r w:rsidRPr="00B35158">
        <w:t>Cioflâncă</w:t>
      </w:r>
      <w:proofErr w:type="spellEnd"/>
      <w:r w:rsidRPr="00B35158">
        <w:t>.</w:t>
      </w:r>
      <w:proofErr w:type="gramEnd"/>
      <w:r w:rsidRPr="00B35158">
        <w:t xml:space="preserve"> </w:t>
      </w:r>
    </w:p>
  </w:endnote>
  <w:endnote w:id="30">
    <w:p w:rsidR="00BE78C6" w:rsidRPr="00B35158" w:rsidRDefault="00BE78C6" w:rsidP="00C6509D">
      <w:pPr>
        <w:pStyle w:val="EndnoteText"/>
      </w:pPr>
      <w:r w:rsidRPr="00B35158">
        <w:rPr>
          <w:rStyle w:val="EndnoteReference"/>
        </w:rPr>
        <w:endnoteRef/>
      </w:r>
      <w:r w:rsidRPr="00B35158">
        <w:t xml:space="preserve"> In Poland, the harm has to be material and demonstrate a violation of human rights. </w:t>
      </w:r>
      <w:proofErr w:type="gramStart"/>
      <w:r w:rsidRPr="00B35158">
        <w:t xml:space="preserve">Author interview with Mr. </w:t>
      </w:r>
      <w:proofErr w:type="spellStart"/>
      <w:r w:rsidRPr="00B35158">
        <w:t>Jacek</w:t>
      </w:r>
      <w:proofErr w:type="spellEnd"/>
      <w:r w:rsidRPr="00B35158">
        <w:t xml:space="preserve"> </w:t>
      </w:r>
      <w:proofErr w:type="spellStart"/>
      <w:r w:rsidRPr="00B35158">
        <w:t>Wygoda</w:t>
      </w:r>
      <w:proofErr w:type="spellEnd"/>
      <w:r w:rsidRPr="00B35158">
        <w:t>, Director of the Lustration Bureau (</w:t>
      </w:r>
      <w:proofErr w:type="spellStart"/>
      <w:r w:rsidRPr="00B35158">
        <w:rPr>
          <w:i/>
        </w:rPr>
        <w:t>Dyrektora</w:t>
      </w:r>
      <w:proofErr w:type="spellEnd"/>
      <w:r w:rsidRPr="00B35158">
        <w:rPr>
          <w:i/>
        </w:rPr>
        <w:t xml:space="preserve"> </w:t>
      </w:r>
      <w:proofErr w:type="spellStart"/>
      <w:r w:rsidRPr="00B35158">
        <w:rPr>
          <w:i/>
        </w:rPr>
        <w:t>Biura</w:t>
      </w:r>
      <w:proofErr w:type="spellEnd"/>
      <w:r w:rsidRPr="00B35158">
        <w:rPr>
          <w:i/>
        </w:rPr>
        <w:t xml:space="preserve"> </w:t>
      </w:r>
      <w:proofErr w:type="spellStart"/>
      <w:r w:rsidRPr="00B35158">
        <w:rPr>
          <w:i/>
        </w:rPr>
        <w:t>Lustracyjnego</w:t>
      </w:r>
      <w:proofErr w:type="spellEnd"/>
      <w:r w:rsidRPr="00B35158">
        <w:t xml:space="preserve">), </w:t>
      </w:r>
      <w:proofErr w:type="spellStart"/>
      <w:r w:rsidRPr="00B35158">
        <w:rPr>
          <w:i/>
        </w:rPr>
        <w:t>Instytut</w:t>
      </w:r>
      <w:proofErr w:type="spellEnd"/>
      <w:r w:rsidRPr="00B35158">
        <w:rPr>
          <w:i/>
        </w:rPr>
        <w:t xml:space="preserve"> </w:t>
      </w:r>
      <w:proofErr w:type="spellStart"/>
      <w:r w:rsidRPr="00B35158">
        <w:rPr>
          <w:i/>
        </w:rPr>
        <w:t>Pamięci</w:t>
      </w:r>
      <w:proofErr w:type="spellEnd"/>
      <w:r w:rsidRPr="00B35158">
        <w:rPr>
          <w:i/>
        </w:rPr>
        <w:t xml:space="preserve"> </w:t>
      </w:r>
      <w:proofErr w:type="spellStart"/>
      <w:r w:rsidRPr="00B35158">
        <w:rPr>
          <w:i/>
        </w:rPr>
        <w:t>Narodowej</w:t>
      </w:r>
      <w:proofErr w:type="spellEnd"/>
      <w:r w:rsidRPr="00B35158">
        <w:rPr>
          <w:i/>
        </w:rPr>
        <w:t xml:space="preserve"> (IPN)</w:t>
      </w:r>
      <w:r w:rsidRPr="00B35158">
        <w:t>, Warsaw Poland, July 17, 2012.</w:t>
      </w:r>
      <w:proofErr w:type="gramEnd"/>
      <w:r w:rsidRPr="00B35158">
        <w:t xml:space="preserve"> In Hungary the collaboration requires either a handwritten statement from the collaborator, documentation of payment received for collaboration or an official report signed by the collaborator using his/her codename.  Typed reports are not sufficient to determine collaboration.  </w:t>
      </w:r>
      <w:proofErr w:type="gramStart"/>
      <w:r w:rsidRPr="00B35158">
        <w:t xml:space="preserve">Author interview with </w:t>
      </w:r>
      <w:r>
        <w:t xml:space="preserve">Dr. </w:t>
      </w:r>
      <w:proofErr w:type="spellStart"/>
      <w:r w:rsidRPr="00B35158">
        <w:t>Gergö</w:t>
      </w:r>
      <w:proofErr w:type="spellEnd"/>
      <w:r w:rsidRPr="00B35158">
        <w:t xml:space="preserve"> </w:t>
      </w:r>
      <w:proofErr w:type="spellStart"/>
      <w:r w:rsidRPr="00B35158">
        <w:t>Bendegúz</w:t>
      </w:r>
      <w:proofErr w:type="spellEnd"/>
      <w:r w:rsidRPr="00B35158">
        <w:t xml:space="preserve"> </w:t>
      </w:r>
      <w:proofErr w:type="spellStart"/>
      <w:r w:rsidRPr="00B35158">
        <w:t>Cseh</w:t>
      </w:r>
      <w:proofErr w:type="spellEnd"/>
      <w:r w:rsidRPr="00B35158">
        <w:t>, Deputy Head of Department, Historical Archives of the Hungarian State Security, Budapest, Hungary, April 4, 2013.</w:t>
      </w:r>
      <w:proofErr w:type="gramEnd"/>
    </w:p>
  </w:endnote>
  <w:endnote w:id="31">
    <w:p w:rsidR="00BE78C6" w:rsidRPr="00B35158" w:rsidRDefault="00BE78C6">
      <w:pPr>
        <w:pStyle w:val="EndnoteText"/>
      </w:pPr>
      <w:r w:rsidRPr="00B35158">
        <w:rPr>
          <w:rStyle w:val="EndnoteReference"/>
        </w:rPr>
        <w:endnoteRef/>
      </w:r>
      <w:r w:rsidRPr="00B35158">
        <w:t xml:space="preserve"> </w:t>
      </w:r>
      <w:proofErr w:type="gramStart"/>
      <w:r w:rsidRPr="00B35158">
        <w:t xml:space="preserve">Author interview with Chairman </w:t>
      </w:r>
      <w:proofErr w:type="spellStart"/>
      <w:r w:rsidRPr="00B35158">
        <w:t>Kostadinov</w:t>
      </w:r>
      <w:proofErr w:type="spellEnd"/>
      <w:r w:rsidRPr="00B35158">
        <w:t>, followed by a site tour of the archives and an explanation of the process at the Dossier Commission Headquarters, July 12, 2012.</w:t>
      </w:r>
      <w:proofErr w:type="gramEnd"/>
      <w:r w:rsidRPr="00B35158">
        <w:t xml:space="preserve"> </w:t>
      </w:r>
    </w:p>
  </w:endnote>
  <w:endnote w:id="32">
    <w:p w:rsidR="00BE78C6" w:rsidRPr="00B35158" w:rsidRDefault="00BE78C6">
      <w:pPr>
        <w:pStyle w:val="EndnoteText"/>
      </w:pPr>
      <w:r w:rsidRPr="00B35158">
        <w:rPr>
          <w:rStyle w:val="EndnoteReference"/>
        </w:rPr>
        <w:endnoteRef/>
      </w:r>
      <w:r w:rsidRPr="00B35158">
        <w:t xml:space="preserve"> A</w:t>
      </w:r>
      <w:r>
        <w:t>n excerpt from law 187/1999 (</w:t>
      </w:r>
      <w:r w:rsidRPr="00DD2046">
        <w:t xml:space="preserve">European </w:t>
      </w:r>
      <w:proofErr w:type="gramStart"/>
      <w:r w:rsidRPr="00DD2046">
        <w:t>Network</w:t>
      </w:r>
      <w:r>
        <w:rPr>
          <w:i/>
        </w:rPr>
        <w:t xml:space="preserve">  </w:t>
      </w:r>
      <w:r w:rsidRPr="00E8126D">
        <w:t>2009</w:t>
      </w:r>
      <w:proofErr w:type="gramEnd"/>
      <w:r w:rsidRPr="00B35158">
        <w:t>, 57</w:t>
      </w:r>
      <w:r>
        <w:t>)</w:t>
      </w:r>
      <w:r w:rsidRPr="00B35158">
        <w:t>.</w:t>
      </w:r>
    </w:p>
  </w:endnote>
  <w:endnote w:id="33">
    <w:p w:rsidR="00BE78C6" w:rsidRPr="00B35158" w:rsidRDefault="00BE78C6">
      <w:pPr>
        <w:pStyle w:val="EndnoteText"/>
      </w:pPr>
      <w:r w:rsidRPr="00B35158">
        <w:rPr>
          <w:rStyle w:val="EndnoteReference"/>
        </w:rPr>
        <w:endnoteRef/>
      </w:r>
      <w:r w:rsidRPr="00B35158">
        <w:t xml:space="preserve"> The files include information files, network files, documentary files and penal or criminal files. The network files in particular document persons who collaborated with the </w:t>
      </w:r>
      <w:r w:rsidRPr="00B35158">
        <w:rPr>
          <w:i/>
        </w:rPr>
        <w:t>Securitate</w:t>
      </w:r>
      <w:r w:rsidRPr="00B35158">
        <w:t xml:space="preserve">. </w:t>
      </w:r>
    </w:p>
  </w:endnote>
  <w:endnote w:id="34">
    <w:p w:rsidR="00BE78C6" w:rsidRPr="00B35158" w:rsidRDefault="00BE78C6">
      <w:pPr>
        <w:pStyle w:val="EndnoteText"/>
      </w:pPr>
      <w:r w:rsidRPr="00B35158">
        <w:rPr>
          <w:rStyle w:val="EndnoteReference"/>
        </w:rPr>
        <w:endnoteRef/>
      </w:r>
      <w:r w:rsidRPr="00B35158">
        <w:t xml:space="preserve"> </w:t>
      </w:r>
      <w:proofErr w:type="gramStart"/>
      <w:r w:rsidRPr="00B35158">
        <w:t xml:space="preserve">Interview with Dr. </w:t>
      </w:r>
      <w:proofErr w:type="spellStart"/>
      <w:r w:rsidRPr="00B35158">
        <w:t>Cioflâncă</w:t>
      </w:r>
      <w:proofErr w:type="spellEnd"/>
      <w:r w:rsidRPr="00B35158">
        <w:t>.</w:t>
      </w:r>
      <w:proofErr w:type="gramEnd"/>
      <w:r w:rsidRPr="00B35158">
        <w:t xml:space="preserve"> </w:t>
      </w:r>
    </w:p>
  </w:endnote>
  <w:endnote w:id="35">
    <w:p w:rsidR="00BE78C6" w:rsidRPr="00B35158" w:rsidRDefault="00BE78C6" w:rsidP="002D49EF">
      <w:pPr>
        <w:pStyle w:val="EndnoteText"/>
      </w:pPr>
      <w:r w:rsidRPr="00B35158">
        <w:rPr>
          <w:rStyle w:val="EndnoteReference"/>
        </w:rPr>
        <w:endnoteRef/>
      </w:r>
      <w:r w:rsidRPr="00B35158">
        <w:t xml:space="preserve"> </w:t>
      </w:r>
      <w:proofErr w:type="gramStart"/>
      <w:r>
        <w:t>I</w:t>
      </w:r>
      <w:r w:rsidRPr="00B35158">
        <w:t xml:space="preserve">nterview with Chairman </w:t>
      </w:r>
      <w:proofErr w:type="spellStart"/>
      <w:r w:rsidRPr="00B35158">
        <w:rPr>
          <w:iCs/>
        </w:rPr>
        <w:t>Kostadinov</w:t>
      </w:r>
      <w:proofErr w:type="spellEnd"/>
      <w:r>
        <w:rPr>
          <w:iCs/>
        </w:rPr>
        <w:t>.</w:t>
      </w:r>
      <w:proofErr w:type="gramEnd"/>
    </w:p>
  </w:endnote>
  <w:endnote w:id="36">
    <w:p w:rsidR="00BE78C6" w:rsidRPr="00B35158" w:rsidRDefault="00BE78C6" w:rsidP="002D49EF">
      <w:pPr>
        <w:pStyle w:val="EndnoteText"/>
      </w:pPr>
      <w:r w:rsidRPr="00B35158">
        <w:rPr>
          <w:rStyle w:val="EndnoteReference"/>
        </w:rPr>
        <w:endnoteRef/>
      </w:r>
      <w:r w:rsidRPr="00B35158">
        <w:t xml:space="preserve"> “Reports to the National Assembly,” the Dossier Commission, </w:t>
      </w:r>
      <w:hyperlink r:id="rId6" w:history="1">
        <w:r w:rsidRPr="00B35158">
          <w:rPr>
            <w:rStyle w:val="Hyperlink"/>
          </w:rPr>
          <w:t>http://www.comdos.bg/Доклади_пред_Народното_събрание</w:t>
        </w:r>
      </w:hyperlink>
      <w:r>
        <w:t xml:space="preserve">, </w:t>
      </w:r>
      <w:r w:rsidRPr="00B35158">
        <w:t xml:space="preserve">accessed August 16, 2013.  </w:t>
      </w:r>
    </w:p>
  </w:endnote>
  <w:endnote w:id="37">
    <w:p w:rsidR="00BE78C6" w:rsidRPr="00B35158" w:rsidRDefault="00BE78C6" w:rsidP="002D49EF">
      <w:pPr>
        <w:pStyle w:val="Default"/>
        <w:rPr>
          <w:rFonts w:ascii="Times New Roman" w:hAnsi="Times New Roman" w:cs="Times New Roman"/>
          <w:sz w:val="20"/>
          <w:szCs w:val="20"/>
        </w:rPr>
      </w:pPr>
      <w:r w:rsidRPr="00B35158">
        <w:rPr>
          <w:rStyle w:val="EndnoteReference"/>
          <w:rFonts w:ascii="Times New Roman" w:hAnsi="Times New Roman" w:cs="Times New Roman"/>
          <w:sz w:val="20"/>
          <w:szCs w:val="20"/>
        </w:rPr>
        <w:endnoteRef/>
      </w:r>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Republika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Bilgariya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Komiciya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Za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Razkrivane</w:t>
      </w:r>
      <w:proofErr w:type="spellEnd"/>
      <w:r w:rsidRPr="00B35158">
        <w:rPr>
          <w:rFonts w:ascii="Times New Roman" w:hAnsi="Times New Roman" w:cs="Times New Roman"/>
          <w:bCs/>
          <w:sz w:val="20"/>
          <w:szCs w:val="20"/>
        </w:rPr>
        <w:t xml:space="preserve">  Na </w:t>
      </w:r>
      <w:proofErr w:type="spellStart"/>
      <w:r w:rsidRPr="00B35158">
        <w:rPr>
          <w:rFonts w:ascii="Times New Roman" w:hAnsi="Times New Roman" w:cs="Times New Roman"/>
          <w:bCs/>
          <w:sz w:val="20"/>
          <w:szCs w:val="20"/>
        </w:rPr>
        <w:t>Dokumentite</w:t>
      </w:r>
      <w:proofErr w:type="spellEnd"/>
      <w:r w:rsidRPr="00B35158">
        <w:rPr>
          <w:rFonts w:ascii="Times New Roman" w:hAnsi="Times New Roman" w:cs="Times New Roman"/>
          <w:bCs/>
          <w:sz w:val="20"/>
          <w:szCs w:val="20"/>
        </w:rPr>
        <w:t xml:space="preserve"> I </w:t>
      </w:r>
      <w:proofErr w:type="spellStart"/>
      <w:r w:rsidRPr="00B35158">
        <w:rPr>
          <w:rFonts w:ascii="Times New Roman" w:hAnsi="Times New Roman" w:cs="Times New Roman"/>
          <w:bCs/>
          <w:sz w:val="20"/>
          <w:szCs w:val="20"/>
        </w:rPr>
        <w:t>Za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Obyavyavane</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Naprina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dlejenost</w:t>
      </w:r>
      <w:proofErr w:type="spellEnd"/>
      <w:r w:rsidRPr="00B35158">
        <w:rPr>
          <w:rFonts w:ascii="Times New Roman" w:hAnsi="Times New Roman" w:cs="Times New Roman"/>
          <w:bCs/>
          <w:sz w:val="20"/>
          <w:szCs w:val="20"/>
        </w:rPr>
        <w:t xml:space="preserve"> Na </w:t>
      </w:r>
      <w:proofErr w:type="spellStart"/>
      <w:r w:rsidRPr="00B35158">
        <w:rPr>
          <w:rFonts w:ascii="Times New Roman" w:hAnsi="Times New Roman" w:cs="Times New Roman"/>
          <w:bCs/>
          <w:sz w:val="20"/>
          <w:szCs w:val="20"/>
        </w:rPr>
        <w:t>Bilgarski</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Gradjedani</w:t>
      </w:r>
      <w:proofErr w:type="spellEnd"/>
      <w:r w:rsidRPr="00B35158">
        <w:rPr>
          <w:rFonts w:ascii="Times New Roman" w:hAnsi="Times New Roman" w:cs="Times New Roman"/>
          <w:bCs/>
          <w:sz w:val="20"/>
          <w:szCs w:val="20"/>
        </w:rPr>
        <w:t xml:space="preserve"> KBM  </w:t>
      </w:r>
      <w:proofErr w:type="spellStart"/>
      <w:r w:rsidRPr="00B35158">
        <w:rPr>
          <w:rFonts w:ascii="Times New Roman" w:hAnsi="Times New Roman" w:cs="Times New Roman"/>
          <w:bCs/>
          <w:sz w:val="20"/>
          <w:szCs w:val="20"/>
        </w:rPr>
        <w:t>Drjeavna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Sigurnost</w:t>
      </w:r>
      <w:proofErr w:type="spellEnd"/>
      <w:r w:rsidRPr="00B35158">
        <w:rPr>
          <w:rFonts w:ascii="Times New Roman" w:hAnsi="Times New Roman" w:cs="Times New Roman"/>
          <w:bCs/>
          <w:sz w:val="20"/>
          <w:szCs w:val="20"/>
        </w:rPr>
        <w:t xml:space="preserve"> I </w:t>
      </w:r>
      <w:proofErr w:type="spellStart"/>
      <w:r w:rsidRPr="00B35158">
        <w:rPr>
          <w:rFonts w:ascii="Times New Roman" w:hAnsi="Times New Roman" w:cs="Times New Roman"/>
          <w:bCs/>
          <w:sz w:val="20"/>
          <w:szCs w:val="20"/>
        </w:rPr>
        <w:t>Razuznavatelnite</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Sludjei</w:t>
      </w:r>
      <w:proofErr w:type="spellEnd"/>
      <w:r w:rsidRPr="00B35158">
        <w:rPr>
          <w:rFonts w:ascii="Times New Roman" w:hAnsi="Times New Roman" w:cs="Times New Roman"/>
          <w:bCs/>
          <w:sz w:val="20"/>
          <w:szCs w:val="20"/>
        </w:rPr>
        <w:t xml:space="preserve"> Na </w:t>
      </w:r>
      <w:proofErr w:type="spellStart"/>
      <w:r w:rsidRPr="00B35158">
        <w:rPr>
          <w:rFonts w:ascii="Times New Roman" w:hAnsi="Times New Roman" w:cs="Times New Roman"/>
          <w:bCs/>
          <w:sz w:val="20"/>
          <w:szCs w:val="20"/>
        </w:rPr>
        <w:t>Bilgarskata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Narodna</w:t>
      </w:r>
      <w:proofErr w:type="spellEnd"/>
      <w:r w:rsidRPr="00B35158">
        <w:rPr>
          <w:rFonts w:ascii="Times New Roman" w:hAnsi="Times New Roman" w:cs="Times New Roman"/>
          <w:bCs/>
          <w:sz w:val="20"/>
          <w:szCs w:val="20"/>
        </w:rPr>
        <w:t xml:space="preserve"> </w:t>
      </w:r>
      <w:proofErr w:type="spellStart"/>
      <w:r w:rsidRPr="00B35158">
        <w:rPr>
          <w:rFonts w:ascii="Times New Roman" w:hAnsi="Times New Roman" w:cs="Times New Roman"/>
          <w:bCs/>
          <w:sz w:val="20"/>
          <w:szCs w:val="20"/>
        </w:rPr>
        <w:t>Armiya</w:t>
      </w:r>
      <w:proofErr w:type="spellEnd"/>
      <w:r w:rsidRPr="00B35158">
        <w:rPr>
          <w:rFonts w:ascii="Times New Roman" w:hAnsi="Times New Roman" w:cs="Times New Roman"/>
          <w:bCs/>
          <w:sz w:val="20"/>
          <w:szCs w:val="20"/>
        </w:rPr>
        <w:t xml:space="preserve"> (</w:t>
      </w:r>
      <w:r w:rsidRPr="00B35158">
        <w:rPr>
          <w:rFonts w:ascii="Times New Roman" w:hAnsi="Times New Roman" w:cs="Times New Roman"/>
          <w:sz w:val="20"/>
          <w:szCs w:val="20"/>
        </w:rPr>
        <w:t xml:space="preserve">Commission of the Republic of Bulgaria </w:t>
      </w:r>
      <w:r w:rsidRPr="00B35158">
        <w:rPr>
          <w:sz w:val="20"/>
          <w:szCs w:val="20"/>
        </w:rPr>
        <w:t>for Access and Disclosure of the Documents and Announcing Affiliations of Bulgarian Citizens to the State Security and the Intelligence Services of the Bulgarian National Army),</w:t>
      </w:r>
      <w:r w:rsidRPr="00B35158">
        <w:rPr>
          <w:rFonts w:ascii="Times New Roman" w:hAnsi="Times New Roman" w:cs="Times New Roman"/>
          <w:sz w:val="20"/>
          <w:szCs w:val="20"/>
        </w:rPr>
        <w:t xml:space="preserve"> </w:t>
      </w:r>
      <w:r w:rsidRPr="00B35158">
        <w:rPr>
          <w:rFonts w:ascii="Times New Roman" w:hAnsi="Times New Roman" w:cs="Times New Roman"/>
          <w:bCs/>
          <w:sz w:val="20"/>
          <w:szCs w:val="20"/>
        </w:rPr>
        <w:t xml:space="preserve">  </w:t>
      </w:r>
      <w:hyperlink r:id="rId7" w:history="1">
        <w:r w:rsidRPr="00B35158">
          <w:rPr>
            <w:rStyle w:val="Hyperlink"/>
            <w:rFonts w:ascii="Times New Roman" w:hAnsi="Times New Roman" w:cs="Times New Roman"/>
            <w:bCs/>
            <w:sz w:val="20"/>
            <w:szCs w:val="20"/>
          </w:rPr>
          <w:t>http://www.comdos.bg/media/Dokladi/doklad--2-2012.pdf</w:t>
        </w:r>
      </w:hyperlink>
      <w:r w:rsidRPr="00B35158">
        <w:rPr>
          <w:rFonts w:ascii="Times New Roman" w:hAnsi="Times New Roman" w:cs="Times New Roman"/>
          <w:bCs/>
          <w:sz w:val="20"/>
          <w:szCs w:val="20"/>
        </w:rPr>
        <w:t>, accessed August 15, 2013.</w:t>
      </w:r>
    </w:p>
  </w:endnote>
  <w:endnote w:id="38">
    <w:p w:rsidR="00BE78C6" w:rsidRPr="00B35158" w:rsidRDefault="00BE78C6" w:rsidP="002114AF">
      <w:pPr>
        <w:pStyle w:val="EndnoteText"/>
      </w:pPr>
      <w:r w:rsidRPr="00B35158">
        <w:rPr>
          <w:rStyle w:val="EndnoteReference"/>
        </w:rPr>
        <w:endnoteRef/>
      </w:r>
      <w:r w:rsidRPr="00B35158">
        <w:t xml:space="preserve"> </w:t>
      </w:r>
      <w:r>
        <w:t>These figures represent the most current information available from the Dossier Commission as of December 2013.  F</w:t>
      </w:r>
      <w:r w:rsidRPr="00B35158">
        <w:t xml:space="preserve">or complicity figures see </w:t>
      </w:r>
      <w:proofErr w:type="spellStart"/>
      <w:r w:rsidRPr="00B35158">
        <w:t>Metodiev</w:t>
      </w:r>
      <w:proofErr w:type="spellEnd"/>
      <w:r>
        <w:t xml:space="preserve"> 2013, 76. </w:t>
      </w:r>
    </w:p>
  </w:endnote>
  <w:endnote w:id="39">
    <w:p w:rsidR="00BE78C6" w:rsidRPr="00B35158" w:rsidRDefault="00BE78C6" w:rsidP="002D49EF">
      <w:pPr>
        <w:pStyle w:val="EndnoteText"/>
      </w:pPr>
      <w:r w:rsidRPr="00B35158">
        <w:rPr>
          <w:rStyle w:val="EndnoteReference"/>
        </w:rPr>
        <w:endnoteRef/>
      </w:r>
      <w:r w:rsidRPr="00B35158">
        <w:t xml:space="preserve"> “Checked Institutions,</w:t>
      </w:r>
      <w:proofErr w:type="gramStart"/>
      <w:r w:rsidRPr="00B35158">
        <w:t xml:space="preserve">”  </w:t>
      </w:r>
      <w:proofErr w:type="gramEnd"/>
      <w:r w:rsidR="00121A1C">
        <w:fldChar w:fldCharType="begin"/>
      </w:r>
      <w:r>
        <w:instrText>HYPERLINK "http://www.comdos.bg/provereni-institutsii"</w:instrText>
      </w:r>
      <w:r w:rsidR="00121A1C">
        <w:fldChar w:fldCharType="separate"/>
      </w:r>
      <w:r w:rsidRPr="00B35158">
        <w:rPr>
          <w:rStyle w:val="Hyperlink"/>
        </w:rPr>
        <w:t>http://www.comdos.bg/provereni-institutsii</w:t>
      </w:r>
      <w:r w:rsidR="00121A1C">
        <w:fldChar w:fldCharType="end"/>
      </w:r>
      <w:r w:rsidRPr="00B35158">
        <w:t xml:space="preserve">, accessed August 16, 2013. </w:t>
      </w:r>
    </w:p>
  </w:endnote>
  <w:endnote w:id="40">
    <w:p w:rsidR="00BE78C6" w:rsidRPr="00B35158" w:rsidRDefault="00BE78C6" w:rsidP="002D49EF">
      <w:pPr>
        <w:pStyle w:val="EndnoteText"/>
      </w:pPr>
      <w:r w:rsidRPr="00B35158">
        <w:rPr>
          <w:rStyle w:val="EndnoteReference"/>
        </w:rPr>
        <w:endnoteRef/>
      </w:r>
      <w:r w:rsidRPr="00B35158">
        <w:t xml:space="preserve"> </w:t>
      </w:r>
      <w:proofErr w:type="gramStart"/>
      <w:r w:rsidRPr="00B35158">
        <w:t>Dossier Commission</w:t>
      </w:r>
      <w:r w:rsidRPr="00B35158">
        <w:rPr>
          <w:i/>
        </w:rPr>
        <w:t xml:space="preserve"> </w:t>
      </w:r>
      <w:r w:rsidRPr="00B35158">
        <w:t xml:space="preserve">Decision No. 37, (10/06/2008), </w:t>
      </w:r>
      <w:hyperlink r:id="rId8" w:history="1">
        <w:r w:rsidRPr="00BA2EA5">
          <w:rPr>
            <w:rStyle w:val="Hyperlink"/>
          </w:rPr>
          <w:t>http://www.comdos.bg/</w:t>
        </w:r>
      </w:hyperlink>
      <w:r>
        <w:t>, accessed August 16, 2013.</w:t>
      </w:r>
      <w:proofErr w:type="gramEnd"/>
      <w:r w:rsidRPr="00B35158">
        <w:t xml:space="preserve"> </w:t>
      </w:r>
    </w:p>
  </w:endnote>
  <w:endnote w:id="41">
    <w:p w:rsidR="00BE78C6" w:rsidRPr="00B35158" w:rsidRDefault="00BE78C6" w:rsidP="002D49EF">
      <w:pPr>
        <w:pStyle w:val="EndnoteText"/>
      </w:pPr>
      <w:r w:rsidRPr="00B35158">
        <w:rPr>
          <w:rStyle w:val="EndnoteReference"/>
        </w:rPr>
        <w:endnoteRef/>
      </w:r>
      <w:r w:rsidRPr="00B35158">
        <w:t xml:space="preserve"> Chairman </w:t>
      </w:r>
      <w:proofErr w:type="spellStart"/>
      <w:r w:rsidRPr="00B35158">
        <w:t>Kostadinov</w:t>
      </w:r>
      <w:proofErr w:type="spellEnd"/>
      <w:r w:rsidRPr="00B35158">
        <w:t xml:space="preserve"> cited these limitations on and argued that screening should be expanded in temporal terms back to 1990 and </w:t>
      </w:r>
      <w:proofErr w:type="gramStart"/>
      <w:r w:rsidRPr="00B35158">
        <w:t>allow</w:t>
      </w:r>
      <w:proofErr w:type="gramEnd"/>
      <w:r w:rsidRPr="00B35158">
        <w:t xml:space="preserve"> rechecks of agencies to account for recent hires. </w:t>
      </w:r>
      <w:proofErr w:type="gramStart"/>
      <w:r w:rsidRPr="00B35158">
        <w:t>Author interview.</w:t>
      </w:r>
      <w:proofErr w:type="gramEnd"/>
    </w:p>
  </w:endnote>
  <w:endnote w:id="42">
    <w:p w:rsidR="00BE78C6" w:rsidRPr="00B35158" w:rsidRDefault="00BE78C6" w:rsidP="002A3196">
      <w:pPr>
        <w:pStyle w:val="EndnoteText"/>
      </w:pPr>
      <w:r w:rsidRPr="00B35158">
        <w:rPr>
          <w:rStyle w:val="EndnoteReference"/>
        </w:rPr>
        <w:endnoteRef/>
      </w:r>
      <w:r w:rsidRPr="00B35158">
        <w:t xml:space="preserve"> </w:t>
      </w:r>
      <w:proofErr w:type="spellStart"/>
      <w:proofErr w:type="gramStart"/>
      <w:r w:rsidRPr="00B35158">
        <w:rPr>
          <w:bCs/>
          <w:i/>
        </w:rPr>
        <w:t>Raport</w:t>
      </w:r>
      <w:proofErr w:type="spellEnd"/>
      <w:r w:rsidRPr="00B35158">
        <w:rPr>
          <w:bCs/>
          <w:i/>
        </w:rPr>
        <w:t xml:space="preserve"> de </w:t>
      </w:r>
      <w:proofErr w:type="spellStart"/>
      <w:r w:rsidRPr="00B35158">
        <w:rPr>
          <w:bCs/>
          <w:i/>
        </w:rPr>
        <w:t>activitate</w:t>
      </w:r>
      <w:proofErr w:type="spellEnd"/>
      <w:r w:rsidRPr="00B35158">
        <w:rPr>
          <w:bCs/>
          <w:i/>
        </w:rPr>
        <w:t xml:space="preserve"> </w:t>
      </w:r>
      <w:proofErr w:type="spellStart"/>
      <w:r w:rsidRPr="00B35158">
        <w:rPr>
          <w:bCs/>
          <w:i/>
        </w:rPr>
        <w:t>privind</w:t>
      </w:r>
      <w:proofErr w:type="spellEnd"/>
      <w:r w:rsidRPr="00B35158">
        <w:rPr>
          <w:bCs/>
          <w:i/>
        </w:rPr>
        <w:t xml:space="preserve"> </w:t>
      </w:r>
      <w:proofErr w:type="spellStart"/>
      <w:r w:rsidRPr="00B35158">
        <w:rPr>
          <w:bCs/>
          <w:i/>
        </w:rPr>
        <w:t>anul</w:t>
      </w:r>
      <w:proofErr w:type="spellEnd"/>
      <w:r w:rsidRPr="00B35158">
        <w:rPr>
          <w:bCs/>
          <w:i/>
        </w:rPr>
        <w:t xml:space="preserve"> 2010 (2010 Annual Activity Report)</w:t>
      </w:r>
      <w:r w:rsidRPr="00B35158">
        <w:rPr>
          <w:bCs/>
        </w:rPr>
        <w:t xml:space="preserve">, </w:t>
      </w:r>
      <w:proofErr w:type="spellStart"/>
      <w:r w:rsidRPr="00B35158">
        <w:rPr>
          <w:bCs/>
        </w:rPr>
        <w:t>Consiliul</w:t>
      </w:r>
      <w:proofErr w:type="spellEnd"/>
      <w:r w:rsidRPr="00B35158">
        <w:rPr>
          <w:bCs/>
        </w:rPr>
        <w:t xml:space="preserve"> </w:t>
      </w:r>
      <w:proofErr w:type="spellStart"/>
      <w:r w:rsidRPr="00B35158">
        <w:rPr>
          <w:bCs/>
        </w:rPr>
        <w:t>Naţional</w:t>
      </w:r>
      <w:proofErr w:type="spellEnd"/>
      <w:r w:rsidRPr="00B35158">
        <w:rPr>
          <w:bCs/>
        </w:rPr>
        <w:t xml:space="preserve"> </w:t>
      </w:r>
      <w:proofErr w:type="spellStart"/>
      <w:r w:rsidRPr="00B35158">
        <w:rPr>
          <w:bCs/>
        </w:rPr>
        <w:t>Pentru</w:t>
      </w:r>
      <w:proofErr w:type="spellEnd"/>
      <w:r w:rsidRPr="00B35158">
        <w:rPr>
          <w:bCs/>
        </w:rPr>
        <w:t xml:space="preserve"> </w:t>
      </w:r>
      <w:proofErr w:type="spellStart"/>
      <w:r w:rsidRPr="00B35158">
        <w:rPr>
          <w:bCs/>
        </w:rPr>
        <w:t>Studierea</w:t>
      </w:r>
      <w:proofErr w:type="spellEnd"/>
      <w:r w:rsidRPr="00B35158">
        <w:rPr>
          <w:bCs/>
        </w:rPr>
        <w:t xml:space="preserve"> </w:t>
      </w:r>
      <w:proofErr w:type="spellStart"/>
      <w:r w:rsidRPr="00B35158">
        <w:rPr>
          <w:bCs/>
        </w:rPr>
        <w:t>Arhivelor</w:t>
      </w:r>
      <w:proofErr w:type="spellEnd"/>
      <w:r w:rsidRPr="00B35158">
        <w:rPr>
          <w:bCs/>
        </w:rPr>
        <w:t xml:space="preserve"> </w:t>
      </w:r>
      <w:proofErr w:type="spellStart"/>
      <w:r w:rsidRPr="00B35158">
        <w:rPr>
          <w:bCs/>
        </w:rPr>
        <w:t>Securităţii</w:t>
      </w:r>
      <w:proofErr w:type="spellEnd"/>
      <w:r w:rsidRPr="00B35158">
        <w:rPr>
          <w:bCs/>
        </w:rPr>
        <w:t xml:space="preserve">, </w:t>
      </w:r>
      <w:hyperlink r:id="rId9" w:history="1">
        <w:r w:rsidRPr="00B35158">
          <w:rPr>
            <w:rStyle w:val="Hyperlink"/>
            <w:bCs/>
          </w:rPr>
          <w:t>http://www.cnsas.ro/rapoarte.html</w:t>
        </w:r>
      </w:hyperlink>
      <w:r w:rsidRPr="00B35158">
        <w:rPr>
          <w:bCs/>
        </w:rPr>
        <w:t>, accessed August 10, 2013.</w:t>
      </w:r>
      <w:proofErr w:type="gramEnd"/>
    </w:p>
  </w:endnote>
  <w:endnote w:id="43">
    <w:p w:rsidR="00BE78C6" w:rsidRPr="00B35158" w:rsidRDefault="00BE78C6" w:rsidP="002A3196">
      <w:pPr>
        <w:pStyle w:val="EndnoteText"/>
      </w:pPr>
      <w:r w:rsidRPr="00B35158">
        <w:rPr>
          <w:rStyle w:val="EndnoteReference"/>
        </w:rPr>
        <w:endnoteRef/>
      </w:r>
      <w:r w:rsidRPr="00B35158">
        <w:t xml:space="preserve"> Author i</w:t>
      </w:r>
      <w:r w:rsidRPr="00B35158">
        <w:rPr>
          <w:color w:val="000000"/>
        </w:rPr>
        <w:t xml:space="preserve">nterviews with Dr. </w:t>
      </w:r>
      <w:proofErr w:type="spellStart"/>
      <w:r w:rsidRPr="00B35158">
        <w:rPr>
          <w:color w:val="000000"/>
        </w:rPr>
        <w:t>Petrescu</w:t>
      </w:r>
      <w:proofErr w:type="spellEnd"/>
      <w:r w:rsidRPr="00B35158">
        <w:rPr>
          <w:color w:val="000000"/>
        </w:rPr>
        <w:t xml:space="preserve"> and Dr. </w:t>
      </w:r>
      <w:proofErr w:type="spellStart"/>
      <w:r w:rsidRPr="00B35158">
        <w:rPr>
          <w:color w:val="000000"/>
        </w:rPr>
        <w:t>Cioflâncă</w:t>
      </w:r>
      <w:proofErr w:type="spellEnd"/>
      <w:r w:rsidRPr="00B35158">
        <w:rPr>
          <w:color w:val="000000"/>
        </w:rPr>
        <w:t xml:space="preserve">; </w:t>
      </w:r>
      <w:r w:rsidRPr="00B35158">
        <w:t xml:space="preserve">See also the </w:t>
      </w:r>
      <w:proofErr w:type="gramStart"/>
      <w:r w:rsidRPr="00B35158">
        <w:t>C.N.S.A.S.’s  website</w:t>
      </w:r>
      <w:proofErr w:type="gramEnd"/>
      <w:r w:rsidRPr="00B35158">
        <w:t xml:space="preserve"> at </w:t>
      </w:r>
      <w:hyperlink r:id="rId10" w:history="1">
        <w:r w:rsidRPr="00B35158">
          <w:rPr>
            <w:rStyle w:val="Hyperlink"/>
          </w:rPr>
          <w:t>www.cnsas.ro</w:t>
        </w:r>
      </w:hyperlink>
      <w:r w:rsidRPr="00B35158">
        <w:t xml:space="preserve"> for additional details on files available and reviewed.</w:t>
      </w:r>
    </w:p>
  </w:endnote>
  <w:endnote w:id="44">
    <w:p w:rsidR="00BE78C6" w:rsidRPr="00B35158" w:rsidRDefault="00BE78C6" w:rsidP="00387D89">
      <w:pPr>
        <w:pStyle w:val="EndnoteText"/>
        <w:rPr>
          <w:rFonts w:ascii="Garamond-Bold" w:hAnsi="Garamond-Bold" w:cs="Garamond-Bold"/>
          <w:bCs/>
        </w:rPr>
      </w:pPr>
      <w:r w:rsidRPr="00B35158">
        <w:rPr>
          <w:rStyle w:val="EndnoteReference"/>
        </w:rPr>
        <w:endnoteRef/>
      </w:r>
      <w:r w:rsidRPr="00B35158">
        <w:t xml:space="preserve"> </w:t>
      </w:r>
      <w:r>
        <w:t xml:space="preserve">This represents the latest figures available.  C.N.S.A.S. </w:t>
      </w:r>
      <w:proofErr w:type="spellStart"/>
      <w:r w:rsidRPr="00B35158">
        <w:rPr>
          <w:rFonts w:ascii="Garamond-Bold" w:hAnsi="Garamond-Bold" w:cs="Garamond-Bold"/>
          <w:bCs/>
          <w:i/>
        </w:rPr>
        <w:t>Raport</w:t>
      </w:r>
      <w:proofErr w:type="spellEnd"/>
      <w:r w:rsidRPr="00B35158">
        <w:rPr>
          <w:rFonts w:ascii="Garamond-Bold" w:hAnsi="Garamond-Bold" w:cs="Garamond-Bold"/>
          <w:bCs/>
          <w:i/>
        </w:rPr>
        <w:t xml:space="preserve"> de </w:t>
      </w:r>
      <w:proofErr w:type="spellStart"/>
      <w:r w:rsidRPr="00B35158">
        <w:rPr>
          <w:rFonts w:ascii="Garamond-Bold" w:hAnsi="Garamond-Bold" w:cs="Garamond-Bold"/>
          <w:bCs/>
          <w:i/>
        </w:rPr>
        <w:t>activitate</w:t>
      </w:r>
      <w:proofErr w:type="spellEnd"/>
      <w:r w:rsidRPr="00B35158">
        <w:rPr>
          <w:rFonts w:ascii="Garamond-Bold" w:hAnsi="Garamond-Bold" w:cs="Garamond-Bold"/>
          <w:bCs/>
          <w:i/>
        </w:rPr>
        <w:t xml:space="preserve"> </w:t>
      </w:r>
      <w:proofErr w:type="spellStart"/>
      <w:r w:rsidRPr="00B35158">
        <w:rPr>
          <w:rFonts w:ascii="Garamond-Bold" w:hAnsi="Garamond-Bold" w:cs="Garamond-Bold"/>
          <w:bCs/>
          <w:i/>
        </w:rPr>
        <w:t>privind</w:t>
      </w:r>
      <w:proofErr w:type="spellEnd"/>
      <w:r w:rsidRPr="00B35158">
        <w:rPr>
          <w:rFonts w:ascii="Garamond-Bold" w:hAnsi="Garamond-Bold" w:cs="Garamond-Bold"/>
          <w:bCs/>
          <w:i/>
        </w:rPr>
        <w:t xml:space="preserve"> </w:t>
      </w:r>
      <w:proofErr w:type="spellStart"/>
      <w:r w:rsidRPr="00B35158">
        <w:rPr>
          <w:rFonts w:ascii="Garamond-Bold" w:hAnsi="Garamond-Bold" w:cs="Garamond-Bold"/>
          <w:bCs/>
          <w:i/>
        </w:rPr>
        <w:t>anul</w:t>
      </w:r>
      <w:proofErr w:type="spellEnd"/>
      <w:r w:rsidRPr="00B35158">
        <w:rPr>
          <w:rFonts w:ascii="Garamond-Bold" w:hAnsi="Garamond-Bold" w:cs="Garamond-Bold"/>
          <w:bCs/>
          <w:i/>
        </w:rPr>
        <w:t xml:space="preserve"> 2012 (2012 Annual Activity Report)</w:t>
      </w:r>
      <w:r w:rsidRPr="00B35158">
        <w:rPr>
          <w:bCs/>
        </w:rPr>
        <w:t xml:space="preserve"> p. </w:t>
      </w:r>
      <w:proofErr w:type="gramStart"/>
      <w:r w:rsidRPr="00B35158">
        <w:rPr>
          <w:bCs/>
        </w:rPr>
        <w:t xml:space="preserve">15 </w:t>
      </w:r>
      <w:r w:rsidRPr="00B35158">
        <w:rPr>
          <w:rFonts w:ascii="Garamond-Bold" w:hAnsi="Garamond-Bold" w:cs="Garamond-Bold"/>
          <w:bCs/>
        </w:rPr>
        <w:t xml:space="preserve"> </w:t>
      </w:r>
      <w:proofErr w:type="gramEnd"/>
      <w:r w:rsidR="00121A1C">
        <w:fldChar w:fldCharType="begin"/>
      </w:r>
      <w:r>
        <w:instrText>HYPERLINK "http://www.cnsas.ro/rapoarte.html"</w:instrText>
      </w:r>
      <w:r w:rsidR="00121A1C">
        <w:fldChar w:fldCharType="separate"/>
      </w:r>
      <w:r w:rsidRPr="00B35158">
        <w:rPr>
          <w:rStyle w:val="Hyperlink"/>
          <w:rFonts w:ascii="Garamond-Bold" w:hAnsi="Garamond-Bold" w:cs="Garamond-Bold"/>
          <w:bCs/>
        </w:rPr>
        <w:t>http://www.cnsas.ro/rapoarte.html</w:t>
      </w:r>
      <w:r w:rsidR="00121A1C">
        <w:fldChar w:fldCharType="end"/>
      </w:r>
      <w:r w:rsidRPr="00B35158">
        <w:rPr>
          <w:rFonts w:ascii="Garamond-Bold" w:hAnsi="Garamond-Bold" w:cs="Garamond-Bold"/>
          <w:bCs/>
        </w:rPr>
        <w:t>.</w:t>
      </w:r>
    </w:p>
  </w:endnote>
  <w:endnote w:id="45">
    <w:p w:rsidR="00BE78C6" w:rsidRPr="00B35158" w:rsidRDefault="00BE78C6">
      <w:pPr>
        <w:pStyle w:val="EndnoteText"/>
      </w:pPr>
      <w:r w:rsidRPr="00B35158">
        <w:rPr>
          <w:rStyle w:val="EndnoteReference"/>
        </w:rPr>
        <w:endnoteRef/>
      </w:r>
      <w:r w:rsidRPr="00B35158">
        <w:t xml:space="preserve"> I am grateful to Dr. </w:t>
      </w:r>
      <w:proofErr w:type="spellStart"/>
      <w:r w:rsidRPr="00B35158">
        <w:t>Csilla</w:t>
      </w:r>
      <w:proofErr w:type="spellEnd"/>
      <w:r w:rsidRPr="00B35158">
        <w:t xml:space="preserve"> Kish for highlighting the similarities with the Hungarian case. </w:t>
      </w:r>
      <w:proofErr w:type="gramStart"/>
      <w:r w:rsidRPr="00B35158">
        <w:t>Author conversation, Budapest Hungary, April 11, 2013.</w:t>
      </w:r>
      <w:proofErr w:type="gramEnd"/>
    </w:p>
  </w:endnote>
  <w:endnote w:id="46">
    <w:p w:rsidR="00BE78C6" w:rsidRPr="00B35158" w:rsidRDefault="00BE78C6" w:rsidP="00066EF6">
      <w:pPr>
        <w:spacing w:after="0" w:line="240" w:lineRule="auto"/>
        <w:rPr>
          <w:rFonts w:eastAsia="Times New Roman" w:cs="Times New Roman"/>
        </w:rPr>
      </w:pPr>
      <w:r w:rsidRPr="00B35158">
        <w:rPr>
          <w:rStyle w:val="EndnoteReference"/>
          <w:rFonts w:cs="Times New Roman"/>
        </w:rPr>
        <w:endnoteRef/>
      </w:r>
      <w:r w:rsidRPr="00B35158">
        <w:rPr>
          <w:rFonts w:cs="Times New Roman"/>
        </w:rPr>
        <w:t xml:space="preserve"> </w:t>
      </w:r>
      <w:proofErr w:type="gramStart"/>
      <w:r w:rsidRPr="00B35158">
        <w:rPr>
          <w:rFonts w:cs="Times New Roman"/>
        </w:rPr>
        <w:t xml:space="preserve">Author interview with historian </w:t>
      </w:r>
      <w:r>
        <w:rPr>
          <w:rFonts w:cs="Times New Roman"/>
        </w:rPr>
        <w:t xml:space="preserve">Dr. </w:t>
      </w:r>
      <w:proofErr w:type="spellStart"/>
      <w:r w:rsidRPr="00B35158">
        <w:rPr>
          <w:rFonts w:cs="Times New Roman"/>
        </w:rPr>
        <w:t>Momchil</w:t>
      </w:r>
      <w:proofErr w:type="spellEnd"/>
      <w:r w:rsidRPr="00B35158">
        <w:rPr>
          <w:rFonts w:cs="Times New Roman"/>
        </w:rPr>
        <w:t xml:space="preserve"> </w:t>
      </w:r>
      <w:proofErr w:type="spellStart"/>
      <w:r w:rsidRPr="00B35158">
        <w:rPr>
          <w:rFonts w:cs="Times New Roman"/>
        </w:rPr>
        <w:t>Metodiev</w:t>
      </w:r>
      <w:proofErr w:type="spellEnd"/>
      <w:r w:rsidRPr="00B35158">
        <w:rPr>
          <w:rFonts w:cs="Times New Roman"/>
        </w:rPr>
        <w:t xml:space="preserve">, Red House Centre for Culture and Debate, Sofia Bulgaria, July </w:t>
      </w:r>
      <w:r>
        <w:rPr>
          <w:rFonts w:cs="Times New Roman"/>
        </w:rPr>
        <w:t xml:space="preserve">9, </w:t>
      </w:r>
      <w:r w:rsidRPr="00B35158">
        <w:rPr>
          <w:rFonts w:cs="Times New Roman"/>
        </w:rPr>
        <w:t>2012.</w:t>
      </w:r>
      <w:proofErr w:type="gramEnd"/>
    </w:p>
  </w:endnote>
  <w:endnote w:id="47">
    <w:p w:rsidR="00BE78C6" w:rsidRPr="00B35158" w:rsidRDefault="00BE78C6" w:rsidP="00435873">
      <w:pPr>
        <w:pStyle w:val="EndnoteText"/>
      </w:pPr>
      <w:r w:rsidRPr="00B35158">
        <w:rPr>
          <w:rStyle w:val="EndnoteReference"/>
        </w:rPr>
        <w:endnoteRef/>
      </w:r>
      <w:r w:rsidRPr="00B35158">
        <w:t xml:space="preserve"> </w:t>
      </w:r>
      <w:proofErr w:type="gramStart"/>
      <w:r w:rsidRPr="00B35158">
        <w:t xml:space="preserve">Interview with </w:t>
      </w:r>
      <w:r>
        <w:t xml:space="preserve">Dr. </w:t>
      </w:r>
      <w:proofErr w:type="spellStart"/>
      <w:r w:rsidRPr="00B35158">
        <w:t>Metodiev</w:t>
      </w:r>
      <w:proofErr w:type="spellEnd"/>
      <w:r w:rsidRPr="00B35158">
        <w:t>.</w:t>
      </w:r>
      <w:proofErr w:type="gramEnd"/>
      <w:r w:rsidRPr="00B35158">
        <w:t xml:space="preserve"> </w:t>
      </w:r>
    </w:p>
  </w:endnote>
  <w:endnote w:id="48">
    <w:p w:rsidR="00BE78C6" w:rsidRPr="00B35158" w:rsidRDefault="00BE78C6" w:rsidP="0032284E">
      <w:pPr>
        <w:pStyle w:val="EndnoteText"/>
      </w:pPr>
      <w:r w:rsidRPr="00B35158">
        <w:rPr>
          <w:rStyle w:val="EndnoteReference"/>
        </w:rPr>
        <w:endnoteRef/>
      </w:r>
      <w:r w:rsidRPr="00B35158">
        <w:t xml:space="preserve"> </w:t>
      </w:r>
      <w:proofErr w:type="gramStart"/>
      <w:r w:rsidRPr="00B35158">
        <w:t xml:space="preserve">Author interview with </w:t>
      </w:r>
      <w:r>
        <w:rPr>
          <w:color w:val="000000"/>
        </w:rPr>
        <w:t xml:space="preserve">Dr. </w:t>
      </w:r>
      <w:proofErr w:type="spellStart"/>
      <w:r w:rsidRPr="00B35158">
        <w:rPr>
          <w:color w:val="000000"/>
        </w:rPr>
        <w:t>Petrescu</w:t>
      </w:r>
      <w:proofErr w:type="spellEnd"/>
      <w:r w:rsidRPr="00B35158">
        <w:rPr>
          <w:color w:val="000000"/>
        </w:rPr>
        <w:t>.</w:t>
      </w:r>
      <w:proofErr w:type="gramEnd"/>
    </w:p>
  </w:endnote>
  <w:endnote w:id="49">
    <w:p w:rsidR="00BE78C6" w:rsidRPr="00B35158" w:rsidRDefault="00BE78C6">
      <w:pPr>
        <w:pStyle w:val="EndnoteText"/>
      </w:pPr>
      <w:r w:rsidRPr="00B35158">
        <w:rPr>
          <w:rStyle w:val="EndnoteReference"/>
        </w:rPr>
        <w:endnoteRef/>
      </w:r>
      <w:r w:rsidRPr="00B35158">
        <w:t xml:space="preserve"> Ibid.</w:t>
      </w:r>
    </w:p>
  </w:endnote>
  <w:endnote w:id="50">
    <w:p w:rsidR="00BE78C6" w:rsidRPr="00B35158" w:rsidRDefault="00BE78C6" w:rsidP="00EF5E6D">
      <w:pPr>
        <w:pStyle w:val="ListParagraph"/>
        <w:ind w:left="0"/>
        <w:contextualSpacing/>
        <w:rPr>
          <w:sz w:val="20"/>
          <w:szCs w:val="20"/>
        </w:rPr>
      </w:pPr>
      <w:r w:rsidRPr="00B35158">
        <w:rPr>
          <w:rStyle w:val="EndnoteReference"/>
          <w:sz w:val="20"/>
          <w:szCs w:val="20"/>
        </w:rPr>
        <w:endnoteRef/>
      </w:r>
      <w:r w:rsidRPr="00B35158">
        <w:rPr>
          <w:sz w:val="20"/>
          <w:szCs w:val="20"/>
        </w:rPr>
        <w:t xml:space="preserve"> </w:t>
      </w:r>
      <w:proofErr w:type="spellStart"/>
      <w:r w:rsidRPr="00B35158">
        <w:rPr>
          <w:sz w:val="20"/>
          <w:szCs w:val="20"/>
        </w:rPr>
        <w:t>Momchil</w:t>
      </w:r>
      <w:proofErr w:type="spellEnd"/>
      <w:r w:rsidRPr="00B35158">
        <w:rPr>
          <w:sz w:val="20"/>
          <w:szCs w:val="20"/>
        </w:rPr>
        <w:t xml:space="preserve"> </w:t>
      </w:r>
      <w:proofErr w:type="spellStart"/>
      <w:r w:rsidRPr="00B35158">
        <w:rPr>
          <w:sz w:val="20"/>
          <w:szCs w:val="20"/>
        </w:rPr>
        <w:t>Metodiev</w:t>
      </w:r>
      <w:proofErr w:type="spellEnd"/>
      <w:r w:rsidRPr="00B35158">
        <w:rPr>
          <w:sz w:val="20"/>
          <w:szCs w:val="20"/>
        </w:rPr>
        <w:t xml:space="preserve"> emphasized the public outrage over credit millionaires and the popularity of the proposed lustration amendment, author interview</w:t>
      </w:r>
      <w:r w:rsidRPr="00B35158">
        <w:rPr>
          <w:bCs/>
          <w:sz w:val="20"/>
          <w:szCs w:val="20"/>
        </w:rPr>
        <w:t xml:space="preserve">. </w:t>
      </w:r>
    </w:p>
  </w:endnote>
  <w:endnote w:id="51">
    <w:p w:rsidR="00BE78C6" w:rsidRDefault="00BE78C6">
      <w:pPr>
        <w:pStyle w:val="EndnoteText"/>
      </w:pPr>
      <w:r>
        <w:rPr>
          <w:rStyle w:val="EndnoteReference"/>
        </w:rPr>
        <w:endnoteRef/>
      </w:r>
      <w:r>
        <w:t xml:space="preserve"> </w:t>
      </w:r>
      <w:proofErr w:type="gramStart"/>
      <w:r>
        <w:t xml:space="preserve">Interview </w:t>
      </w:r>
      <w:r w:rsidRPr="00B35158">
        <w:rPr>
          <w:color w:val="000000"/>
        </w:rPr>
        <w:t xml:space="preserve">with Dr. </w:t>
      </w:r>
      <w:proofErr w:type="spellStart"/>
      <w:r w:rsidRPr="00B35158">
        <w:rPr>
          <w:color w:val="000000"/>
        </w:rPr>
        <w:t>Petrescu</w:t>
      </w:r>
      <w:proofErr w:type="spellEnd"/>
      <w:r w:rsidRPr="00B35158">
        <w:rPr>
          <w:color w:val="000000"/>
        </w:rPr>
        <w:t>.</w:t>
      </w:r>
      <w:proofErr w:type="gramEnd"/>
    </w:p>
  </w:endnote>
  <w:endnote w:id="52">
    <w:p w:rsidR="00BE78C6" w:rsidRDefault="00BE78C6">
      <w:pPr>
        <w:pStyle w:val="EndnoteText"/>
      </w:pPr>
      <w:r>
        <w:rPr>
          <w:rStyle w:val="EndnoteReference"/>
        </w:rPr>
        <w:endnoteRef/>
      </w:r>
      <w:r>
        <w:t xml:space="preserve"> I am grateful to an anonymous review for suggesting the inclusion of these Romanian business leaders in particular. </w:t>
      </w:r>
    </w:p>
  </w:endnote>
  <w:endnote w:id="53">
    <w:p w:rsidR="00BE78C6" w:rsidRDefault="00BE78C6">
      <w:pPr>
        <w:pStyle w:val="EndnoteText"/>
      </w:pPr>
      <w:r>
        <w:rPr>
          <w:rStyle w:val="EndnoteReference"/>
        </w:rPr>
        <w:endnoteRef/>
      </w:r>
      <w:r>
        <w:t xml:space="preserve"> </w:t>
      </w:r>
      <w:proofErr w:type="gramStart"/>
      <w:r>
        <w:t xml:space="preserve">Interview with </w:t>
      </w:r>
      <w:r w:rsidRPr="00B35158">
        <w:rPr>
          <w:color w:val="000000"/>
        </w:rPr>
        <w:t xml:space="preserve">Dr. </w:t>
      </w:r>
      <w:proofErr w:type="spellStart"/>
      <w:r w:rsidRPr="00B35158">
        <w:rPr>
          <w:color w:val="000000"/>
        </w:rPr>
        <w:t>Petrescu</w:t>
      </w:r>
      <w:proofErr w:type="spellEnd"/>
      <w:r w:rsidRPr="00B35158">
        <w:rPr>
          <w:color w:val="000000"/>
        </w:rPr>
        <w:t>.</w:t>
      </w:r>
      <w:proofErr w:type="gramEnd"/>
    </w:p>
  </w:endnote>
  <w:endnote w:id="54">
    <w:p w:rsidR="00BE78C6" w:rsidRPr="00B35158" w:rsidRDefault="00BE78C6" w:rsidP="002F6CE1">
      <w:pPr>
        <w:pStyle w:val="EndnoteText"/>
      </w:pPr>
      <w:r w:rsidRPr="00B35158">
        <w:rPr>
          <w:rStyle w:val="EndnoteReference"/>
        </w:rPr>
        <w:endnoteRef/>
      </w:r>
      <w:r w:rsidRPr="00B35158">
        <w:t xml:space="preserve"> </w:t>
      </w:r>
      <w:proofErr w:type="gramStart"/>
      <w:r w:rsidRPr="00B35158">
        <w:t xml:space="preserve">Author interview with </w:t>
      </w:r>
      <w:r>
        <w:t xml:space="preserve">Dr. </w:t>
      </w:r>
      <w:proofErr w:type="spellStart"/>
      <w:r w:rsidRPr="00B35158">
        <w:t>Mircea</w:t>
      </w:r>
      <w:proofErr w:type="spellEnd"/>
      <w:r w:rsidRPr="00B35158">
        <w:t xml:space="preserve"> </w:t>
      </w:r>
      <w:proofErr w:type="spellStart"/>
      <w:r w:rsidRPr="00B35158">
        <w:t>Stanescu</w:t>
      </w:r>
      <w:proofErr w:type="spellEnd"/>
      <w:r w:rsidRPr="00B35158">
        <w:t>, Historian National Archives, Bucharest, Romania, October 10, 2012.</w:t>
      </w:r>
      <w:proofErr w:type="gramEnd"/>
    </w:p>
  </w:endnote>
  <w:endnote w:id="55">
    <w:p w:rsidR="00BE78C6" w:rsidRPr="00B35158" w:rsidRDefault="00BE78C6" w:rsidP="002F6CE1">
      <w:pPr>
        <w:pStyle w:val="EndnoteText"/>
      </w:pPr>
      <w:r w:rsidRPr="00B35158">
        <w:rPr>
          <w:rStyle w:val="EndnoteReference"/>
        </w:rPr>
        <w:endnoteRef/>
      </w:r>
      <w:r w:rsidRPr="00B35158">
        <w:t xml:space="preserve"> </w:t>
      </w:r>
      <w:proofErr w:type="gramStart"/>
      <w:r w:rsidRPr="00B35158">
        <w:t xml:space="preserve">Author interview with Historian Dr. Octavian </w:t>
      </w:r>
      <w:proofErr w:type="spellStart"/>
      <w:r w:rsidRPr="00B35158">
        <w:t>Roske</w:t>
      </w:r>
      <w:proofErr w:type="spellEnd"/>
      <w:r w:rsidRPr="00B35158">
        <w:t xml:space="preserve">, National Institute for the Study of Totalitarianism, Bucharest, Romania, October 15, 2012; and Interview with Professor </w:t>
      </w:r>
      <w:proofErr w:type="spellStart"/>
      <w:r w:rsidRPr="00B35158">
        <w:t>Dr.Murgescu</w:t>
      </w:r>
      <w:proofErr w:type="spellEnd"/>
      <w:r w:rsidRPr="00B35158">
        <w:t>.</w:t>
      </w:r>
      <w:proofErr w:type="gramEnd"/>
      <w:r w:rsidRPr="00B35158">
        <w:t xml:space="preserve"> </w:t>
      </w:r>
    </w:p>
  </w:endnote>
  <w:endnote w:id="56">
    <w:p w:rsidR="00BE78C6" w:rsidRPr="00B35158" w:rsidRDefault="00BE78C6" w:rsidP="002F6CE1">
      <w:pPr>
        <w:pStyle w:val="EndnoteText"/>
      </w:pPr>
      <w:r w:rsidRPr="00B35158">
        <w:rPr>
          <w:rStyle w:val="EndnoteReference"/>
        </w:rPr>
        <w:endnoteRef/>
      </w:r>
      <w:r w:rsidRPr="00B35158">
        <w:t xml:space="preserve"> Interviews with </w:t>
      </w:r>
      <w:proofErr w:type="spellStart"/>
      <w:r w:rsidRPr="00B35158">
        <w:t>Miriana</w:t>
      </w:r>
      <w:proofErr w:type="spellEnd"/>
      <w:r w:rsidRPr="00B35158">
        <w:t xml:space="preserve"> </w:t>
      </w:r>
      <w:proofErr w:type="spellStart"/>
      <w:r w:rsidRPr="00B35158">
        <w:t>Ilcheva</w:t>
      </w:r>
      <w:proofErr w:type="spellEnd"/>
      <w:r w:rsidRPr="00B35158">
        <w:t>, Research Fellow Law Program and Judicial Reform Unit, Center for the Study of Democracy, Sofia Bulgaria, July 2, 2012</w:t>
      </w:r>
      <w:r>
        <w:t xml:space="preserve"> and</w:t>
      </w:r>
      <w:r w:rsidRPr="00B35158">
        <w:t xml:space="preserve"> Dr. Maria </w:t>
      </w:r>
      <w:proofErr w:type="spellStart"/>
      <w:r w:rsidRPr="00B35158">
        <w:t>Yordanova</w:t>
      </w:r>
      <w:proofErr w:type="spellEnd"/>
      <w:r w:rsidRPr="00B35158">
        <w:t xml:space="preserve">, Director Law Program, Center for the Study of Democracy, Sofia Bulgaria, July </w:t>
      </w:r>
      <w:r>
        <w:t xml:space="preserve">4, </w:t>
      </w:r>
      <w:r w:rsidRPr="00B35158">
        <w:t xml:space="preserve">2012. </w:t>
      </w:r>
    </w:p>
  </w:endnote>
  <w:endnote w:id="57">
    <w:p w:rsidR="00BE78C6" w:rsidRPr="00B35158" w:rsidRDefault="00BE78C6" w:rsidP="00AD618F">
      <w:pPr>
        <w:pStyle w:val="EndnoteText"/>
      </w:pPr>
      <w:r w:rsidRPr="00B35158">
        <w:rPr>
          <w:rStyle w:val="EndnoteReference"/>
        </w:rPr>
        <w:endnoteRef/>
      </w:r>
      <w:r w:rsidRPr="00B35158">
        <w:t xml:space="preserve"> </w:t>
      </w:r>
      <w:proofErr w:type="gramStart"/>
      <w:r w:rsidRPr="00B35158">
        <w:t>The Committee for Disclosing the Documents and Announcing Affiliations of Bulgarian Citizens to the State Security and Intelligence Services of the Bulgarian National Army, 2008-2012.</w:t>
      </w:r>
      <w:proofErr w:type="gramEnd"/>
      <w:r w:rsidRPr="00B35158">
        <w:t xml:space="preserve"> </w:t>
      </w:r>
      <w:r w:rsidRPr="00B35158">
        <w:rPr>
          <w:i/>
        </w:rPr>
        <w:t>Social Barometer, National Centre for Public Opinion Survey</w:t>
      </w:r>
      <w:proofErr w:type="gramStart"/>
      <w:r w:rsidRPr="00B35158">
        <w:t xml:space="preserve">,  </w:t>
      </w:r>
      <w:proofErr w:type="gramEnd"/>
      <w:r w:rsidR="00121A1C">
        <w:fldChar w:fldCharType="begin"/>
      </w:r>
      <w:r>
        <w:instrText>HYPERLINK "http://www.comdos.bg/Социологически_барометър"</w:instrText>
      </w:r>
      <w:r w:rsidR="00121A1C">
        <w:fldChar w:fldCharType="separate"/>
      </w:r>
      <w:r w:rsidRPr="00B35158">
        <w:rPr>
          <w:rStyle w:val="Hyperlink"/>
        </w:rPr>
        <w:t>http://www.comdos.bg/Социологически_барометър</w:t>
      </w:r>
      <w:r w:rsidR="00121A1C">
        <w:fldChar w:fldCharType="end"/>
      </w:r>
      <w:r w:rsidRPr="00B35158">
        <w:t xml:space="preserve">, accessed August 10, 2013.  </w:t>
      </w:r>
    </w:p>
  </w:endnote>
  <w:endnote w:id="58">
    <w:p w:rsidR="00BE78C6" w:rsidRPr="00B35158" w:rsidRDefault="00BE78C6" w:rsidP="00AD618F">
      <w:pPr>
        <w:pStyle w:val="EndnoteText"/>
      </w:pPr>
      <w:r w:rsidRPr="00B35158">
        <w:rPr>
          <w:rStyle w:val="EndnoteReference"/>
        </w:rPr>
        <w:endnoteRef/>
      </w:r>
      <w:r w:rsidRPr="00B35158">
        <w:t xml:space="preserve"> Ibid, section 8. </w:t>
      </w:r>
    </w:p>
  </w:endnote>
  <w:endnote w:id="59">
    <w:p w:rsidR="00BE78C6" w:rsidRPr="00B35158" w:rsidRDefault="00BE78C6" w:rsidP="00AD618F">
      <w:pPr>
        <w:pStyle w:val="EndnoteText"/>
      </w:pPr>
      <w:r w:rsidRPr="00B35158">
        <w:rPr>
          <w:rStyle w:val="EndnoteReference"/>
        </w:rPr>
        <w:endnoteRef/>
      </w:r>
      <w:r w:rsidRPr="00B35158">
        <w:t xml:space="preserve"> Ibid, section 3. </w:t>
      </w:r>
    </w:p>
  </w:endnote>
  <w:endnote w:id="60">
    <w:p w:rsidR="00BE78C6" w:rsidRPr="00B35158" w:rsidRDefault="00BE78C6" w:rsidP="00E308B2">
      <w:pPr>
        <w:pStyle w:val="EndnoteText"/>
      </w:pPr>
      <w:r w:rsidRPr="00B35158">
        <w:rPr>
          <w:rStyle w:val="EndnoteReference"/>
        </w:rPr>
        <w:endnoteRef/>
      </w:r>
      <w:r w:rsidRPr="00B35158">
        <w:t xml:space="preserve"> </w:t>
      </w:r>
      <w:r>
        <w:t>I</w:t>
      </w:r>
      <w:r w:rsidRPr="00B35158">
        <w:t xml:space="preserve">nterview with Chairman </w:t>
      </w:r>
      <w:proofErr w:type="spellStart"/>
      <w:proofErr w:type="gramStart"/>
      <w:r w:rsidRPr="00B35158">
        <w:rPr>
          <w:iCs/>
        </w:rPr>
        <w:t>Kostadinov</w:t>
      </w:r>
      <w:proofErr w:type="spellEnd"/>
      <w:r w:rsidRPr="00B35158">
        <w:rPr>
          <w:iCs/>
        </w:rPr>
        <w:t>,</w:t>
      </w:r>
      <w:proofErr w:type="gramEnd"/>
      <w:r w:rsidRPr="00B35158">
        <w:rPr>
          <w:iCs/>
        </w:rPr>
        <w:t xml:space="preserve"> and interview with Vladimir </w:t>
      </w:r>
      <w:proofErr w:type="spellStart"/>
      <w:r w:rsidRPr="00B35158">
        <w:rPr>
          <w:iCs/>
        </w:rPr>
        <w:t>Todorov</w:t>
      </w:r>
      <w:proofErr w:type="spellEnd"/>
      <w:r w:rsidRPr="00B35158">
        <w:rPr>
          <w:iCs/>
        </w:rPr>
        <w:t>, Institute for the Study of Communist crimes in Bulgaria, Sofia Bulgaria, July 10, 2012</w:t>
      </w:r>
      <w:r w:rsidRPr="00B35158">
        <w:t>.</w:t>
      </w:r>
    </w:p>
  </w:endnote>
  <w:endnote w:id="61">
    <w:p w:rsidR="00BE78C6" w:rsidRPr="00B35158" w:rsidRDefault="00BE78C6" w:rsidP="002D49EF">
      <w:pPr>
        <w:pStyle w:val="EndnoteText"/>
      </w:pPr>
      <w:r w:rsidRPr="00B35158">
        <w:rPr>
          <w:rStyle w:val="EndnoteReference"/>
        </w:rPr>
        <w:endnoteRef/>
      </w:r>
      <w:r w:rsidRPr="00B35158">
        <w:t xml:space="preserve"> </w:t>
      </w:r>
      <w:proofErr w:type="gramStart"/>
      <w:r w:rsidRPr="00B35158">
        <w:t xml:space="preserve">Interview with Chairman </w:t>
      </w:r>
      <w:proofErr w:type="spellStart"/>
      <w:r w:rsidRPr="00B35158">
        <w:rPr>
          <w:iCs/>
        </w:rPr>
        <w:t>Kostadinov</w:t>
      </w:r>
      <w:proofErr w:type="spellEnd"/>
      <w:r w:rsidRPr="00B35158">
        <w:t>.</w:t>
      </w:r>
      <w:proofErr w:type="gramEnd"/>
    </w:p>
  </w:endnote>
  <w:endnote w:id="62">
    <w:p w:rsidR="00BE78C6" w:rsidRPr="00B35158" w:rsidRDefault="00BE78C6" w:rsidP="003B030F">
      <w:pPr>
        <w:pStyle w:val="EndnoteText"/>
      </w:pPr>
      <w:r w:rsidRPr="00B35158">
        <w:rPr>
          <w:rStyle w:val="EndnoteReference"/>
        </w:rPr>
        <w:endnoteRef/>
      </w:r>
      <w:r w:rsidRPr="00B35158">
        <w:rPr>
          <w:color w:val="000000"/>
        </w:rPr>
        <w:t xml:space="preserve"> </w:t>
      </w:r>
      <w:proofErr w:type="gramStart"/>
      <w:r w:rsidRPr="00B35158">
        <w:rPr>
          <w:color w:val="000000"/>
        </w:rPr>
        <w:t xml:space="preserve">Interview with Dr. </w:t>
      </w:r>
      <w:proofErr w:type="spellStart"/>
      <w:r w:rsidRPr="00B35158">
        <w:rPr>
          <w:color w:val="000000"/>
        </w:rPr>
        <w:t>Petrescu</w:t>
      </w:r>
      <w:proofErr w:type="spellEnd"/>
      <w:r w:rsidRPr="00B35158">
        <w:rPr>
          <w:color w:val="000000"/>
        </w:rPr>
        <w:t>.</w:t>
      </w:r>
      <w:proofErr w:type="gramEnd"/>
    </w:p>
  </w:endnote>
  <w:endnote w:id="63">
    <w:p w:rsidR="00BE78C6" w:rsidRPr="00B35158" w:rsidRDefault="00BE78C6">
      <w:pPr>
        <w:pStyle w:val="EndnoteText"/>
      </w:pPr>
      <w:r w:rsidRPr="00B35158">
        <w:rPr>
          <w:rStyle w:val="EndnoteReference"/>
        </w:rPr>
        <w:endnoteRef/>
      </w:r>
      <w:r w:rsidRPr="00B35158">
        <w:t xml:space="preserve"> Ibid.</w:t>
      </w:r>
    </w:p>
  </w:endnote>
  <w:endnote w:id="64">
    <w:p w:rsidR="00BE78C6" w:rsidRPr="00B35158" w:rsidRDefault="00BE78C6" w:rsidP="003B030F">
      <w:pPr>
        <w:pStyle w:val="EndnoteText"/>
      </w:pPr>
      <w:r w:rsidRPr="00B35158">
        <w:rPr>
          <w:rStyle w:val="EndnoteReference"/>
        </w:rPr>
        <w:endnoteRef/>
      </w:r>
      <w:r w:rsidRPr="00B35158">
        <w:t xml:space="preserve"> </w:t>
      </w:r>
      <w:proofErr w:type="gramStart"/>
      <w:r w:rsidRPr="00B35158">
        <w:t>Ibid</w:t>
      </w:r>
      <w:r w:rsidRPr="00B35158">
        <w:rPr>
          <w:color w:val="000000"/>
        </w:rPr>
        <w:t>.</w:t>
      </w:r>
      <w:proofErr w:type="gramEnd"/>
      <w:r w:rsidRPr="00B35158">
        <w:rPr>
          <w:color w:val="000000"/>
        </w:rPr>
        <w:t xml:space="preserve">  </w:t>
      </w:r>
      <w:r w:rsidRPr="00B35158">
        <w:rPr>
          <w:color w:val="000000"/>
        </w:rPr>
        <w:tab/>
      </w:r>
    </w:p>
  </w:endnote>
  <w:endnote w:id="65">
    <w:p w:rsidR="00BE78C6" w:rsidRPr="00B35158" w:rsidRDefault="00BE78C6" w:rsidP="00265BA6">
      <w:pPr>
        <w:pStyle w:val="EndnoteText"/>
      </w:pPr>
      <w:r w:rsidRPr="00B35158">
        <w:rPr>
          <w:rStyle w:val="EndnoteReference"/>
        </w:rPr>
        <w:endnoteRef/>
      </w:r>
      <w:r w:rsidRPr="00B35158">
        <w:t xml:space="preserve"> </w:t>
      </w:r>
      <w:proofErr w:type="gramStart"/>
      <w:r w:rsidRPr="00B35158">
        <w:t>Author i</w:t>
      </w:r>
      <w:r w:rsidRPr="00B35158">
        <w:rPr>
          <w:color w:val="000000"/>
        </w:rPr>
        <w:t xml:space="preserve">nterview with Dr. </w:t>
      </w:r>
      <w:proofErr w:type="spellStart"/>
      <w:r w:rsidRPr="00B35158">
        <w:rPr>
          <w:color w:val="000000"/>
        </w:rPr>
        <w:t>Petrescu</w:t>
      </w:r>
      <w:proofErr w:type="spellEnd"/>
      <w:r>
        <w:rPr>
          <w:color w:val="000000"/>
        </w:rPr>
        <w:t xml:space="preserve"> and Chairman </w:t>
      </w:r>
      <w:proofErr w:type="spellStart"/>
      <w:r>
        <w:rPr>
          <w:color w:val="000000"/>
        </w:rPr>
        <w:t>Kostadinov</w:t>
      </w:r>
      <w:proofErr w:type="spellEnd"/>
      <w:r w:rsidRPr="00B35158">
        <w:rPr>
          <w:color w:val="000000"/>
        </w:rPr>
        <w:t>.</w:t>
      </w:r>
      <w:proofErr w:type="gramEnd"/>
    </w:p>
  </w:endnote>
  <w:endnote w:id="66">
    <w:p w:rsidR="00BE78C6" w:rsidRPr="00B35158" w:rsidRDefault="00BE78C6" w:rsidP="00377C7C">
      <w:pPr>
        <w:pStyle w:val="EndnoteText"/>
      </w:pPr>
      <w:r w:rsidRPr="00B35158">
        <w:rPr>
          <w:rStyle w:val="EndnoteReference"/>
        </w:rPr>
        <w:endnoteRef/>
      </w:r>
      <w:r w:rsidRPr="00B35158">
        <w:t xml:space="preserve"> </w:t>
      </w:r>
      <w:proofErr w:type="gramStart"/>
      <w:r w:rsidRPr="00B35158">
        <w:t>Author i</w:t>
      </w:r>
      <w:r w:rsidRPr="00B35158">
        <w:rPr>
          <w:color w:val="000000"/>
        </w:rPr>
        <w:t xml:space="preserve">nterview with </w:t>
      </w:r>
      <w:r>
        <w:rPr>
          <w:color w:val="000000"/>
        </w:rPr>
        <w:t xml:space="preserve">Chairman </w:t>
      </w:r>
      <w:proofErr w:type="spellStart"/>
      <w:r>
        <w:rPr>
          <w:color w:val="000000"/>
        </w:rPr>
        <w:t>Kostadinov</w:t>
      </w:r>
      <w:proofErr w:type="spellEnd"/>
      <w:r w:rsidRPr="00B35158">
        <w:rPr>
          <w:color w:val="000000"/>
        </w:rPr>
        <w:t>.</w:t>
      </w:r>
      <w:proofErr w:type="gramEnd"/>
      <w:r w:rsidRPr="00B35158">
        <w:t xml:space="preserve"> </w:t>
      </w:r>
    </w:p>
  </w:endnote>
  <w:endnote w:id="67">
    <w:p w:rsidR="00BE78C6" w:rsidRPr="00B35158" w:rsidRDefault="00BE78C6" w:rsidP="00AD618F">
      <w:pPr>
        <w:pStyle w:val="EndnoteText"/>
      </w:pPr>
      <w:r w:rsidRPr="00B35158">
        <w:rPr>
          <w:rStyle w:val="EndnoteReference"/>
        </w:rPr>
        <w:endnoteRef/>
      </w:r>
      <w:proofErr w:type="gramStart"/>
      <w:r w:rsidRPr="00B35158">
        <w:t xml:space="preserve">Author interview with Dr. </w:t>
      </w:r>
      <w:proofErr w:type="spellStart"/>
      <w:r w:rsidRPr="00B35158">
        <w:t>Ognian</w:t>
      </w:r>
      <w:proofErr w:type="spellEnd"/>
      <w:r w:rsidRPr="00B35158">
        <w:t xml:space="preserve"> </w:t>
      </w:r>
      <w:proofErr w:type="spellStart"/>
      <w:r w:rsidRPr="00B35158">
        <w:t>Shentov</w:t>
      </w:r>
      <w:proofErr w:type="spellEnd"/>
      <w:r w:rsidRPr="00B35158">
        <w:t xml:space="preserve">, Chairman Center for the Study of Democracy, Sofia, Bulgaria, July 13, 2012; and interview with </w:t>
      </w:r>
      <w:r>
        <w:t xml:space="preserve">Dr. </w:t>
      </w:r>
      <w:proofErr w:type="spellStart"/>
      <w:r w:rsidRPr="00B35158">
        <w:t>Metodiev</w:t>
      </w:r>
      <w:proofErr w:type="spellEnd"/>
      <w:r w:rsidRPr="00B35158">
        <w:t>.</w:t>
      </w:r>
      <w:proofErr w:type="gramEnd"/>
    </w:p>
  </w:endnote>
  <w:endnote w:id="68">
    <w:p w:rsidR="00BE78C6" w:rsidRPr="00B35158" w:rsidRDefault="00BE78C6" w:rsidP="007C0E2E">
      <w:pPr>
        <w:pStyle w:val="EndnoteText"/>
      </w:pPr>
      <w:r w:rsidRPr="00B35158">
        <w:rPr>
          <w:rStyle w:val="EndnoteReference"/>
        </w:rPr>
        <w:endnoteRef/>
      </w:r>
      <w:r w:rsidRPr="00B35158">
        <w:t xml:space="preserve"> </w:t>
      </w:r>
      <w:proofErr w:type="gramStart"/>
      <w:r w:rsidRPr="00B35158">
        <w:t xml:space="preserve">Author </w:t>
      </w:r>
      <w:r w:rsidRPr="00B35158">
        <w:rPr>
          <w:color w:val="000000"/>
        </w:rPr>
        <w:t xml:space="preserve">interview with Dr. </w:t>
      </w:r>
      <w:proofErr w:type="spellStart"/>
      <w:r w:rsidRPr="00B35158">
        <w:rPr>
          <w:color w:val="000000"/>
        </w:rPr>
        <w:t>Petrescu</w:t>
      </w:r>
      <w:proofErr w:type="spellEnd"/>
      <w:r w:rsidRPr="00B35158">
        <w:rPr>
          <w:color w:val="000000"/>
        </w:rPr>
        <w:t>.</w:t>
      </w:r>
      <w:proofErr w:type="gramEnd"/>
    </w:p>
  </w:endnote>
  <w:endnote w:id="69">
    <w:p w:rsidR="00BE78C6" w:rsidRDefault="00BE78C6" w:rsidP="007C0E2E">
      <w:pPr>
        <w:pStyle w:val="EndnoteText"/>
      </w:pPr>
      <w:r w:rsidRPr="00B35158">
        <w:rPr>
          <w:rStyle w:val="EndnoteReference"/>
        </w:rPr>
        <w:endnoteRef/>
      </w:r>
      <w:r w:rsidRPr="00B35158">
        <w:t xml:space="preserve"> </w:t>
      </w:r>
      <w:proofErr w:type="gramStart"/>
      <w:r w:rsidRPr="00B35158">
        <w:t xml:space="preserve">Author interview with Chairman </w:t>
      </w:r>
      <w:proofErr w:type="spellStart"/>
      <w:r w:rsidRPr="00B35158">
        <w:t>Kostadinov</w:t>
      </w:r>
      <w:proofErr w:type="spellEnd"/>
      <w:r w:rsidRPr="00B35158">
        <w:t>.</w:t>
      </w:r>
      <w:proofErr w:type="gramEnd"/>
      <w:r w:rsidRPr="00B35158">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ue Demos">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6" w:rsidRDefault="00121A1C">
    <w:pPr>
      <w:pStyle w:val="Footer"/>
      <w:jc w:val="right"/>
    </w:pPr>
    <w:sdt>
      <w:sdtPr>
        <w:id w:val="94714214"/>
        <w:docPartObj>
          <w:docPartGallery w:val="Page Numbers (Bottom of Page)"/>
          <w:docPartUnique/>
        </w:docPartObj>
      </w:sdtPr>
      <w:sdtContent>
        <w:fldSimple w:instr=" PAGE   \* MERGEFORMAT ">
          <w:r w:rsidR="002B6F93">
            <w:rPr>
              <w:noProof/>
            </w:rPr>
            <w:t>1</w:t>
          </w:r>
        </w:fldSimple>
      </w:sdtContent>
    </w:sdt>
  </w:p>
  <w:p w:rsidR="00BE78C6" w:rsidRDefault="00BE7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CE" w:rsidRDefault="00F964CE" w:rsidP="00D418A9">
      <w:pPr>
        <w:spacing w:after="0" w:line="240" w:lineRule="auto"/>
      </w:pPr>
      <w:r>
        <w:separator/>
      </w:r>
    </w:p>
  </w:footnote>
  <w:footnote w:type="continuationSeparator" w:id="0">
    <w:p w:rsidR="00F964CE" w:rsidRDefault="00F964CE" w:rsidP="00D41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C9D"/>
    <w:multiLevelType w:val="hybridMultilevel"/>
    <w:tmpl w:val="AD94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C2D2C"/>
    <w:multiLevelType w:val="multilevel"/>
    <w:tmpl w:val="7A38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43A18"/>
    <w:multiLevelType w:val="hybridMultilevel"/>
    <w:tmpl w:val="DE305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340633"/>
    <w:multiLevelType w:val="hybridMultilevel"/>
    <w:tmpl w:val="EADCA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8E1070"/>
    <w:multiLevelType w:val="hybridMultilevel"/>
    <w:tmpl w:val="A0AA0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695827"/>
    <w:multiLevelType w:val="hybridMultilevel"/>
    <w:tmpl w:val="1B7E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954EA"/>
    <w:multiLevelType w:val="hybridMultilevel"/>
    <w:tmpl w:val="C460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92737"/>
    <w:multiLevelType w:val="hybridMultilevel"/>
    <w:tmpl w:val="6528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F5927"/>
    <w:multiLevelType w:val="hybridMultilevel"/>
    <w:tmpl w:val="E3F6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C47223"/>
    <w:multiLevelType w:val="multilevel"/>
    <w:tmpl w:val="04E0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2"/>
  </w:num>
  <w:num w:numId="5">
    <w:abstractNumId w:val="7"/>
  </w:num>
  <w:num w:numId="6">
    <w:abstractNumId w:val="4"/>
  </w:num>
  <w:num w:numId="7">
    <w:abstractNumId w:val="1"/>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numFmt w:val="decimal"/>
    <w:endnote w:id="-1"/>
    <w:endnote w:id="0"/>
  </w:endnotePr>
  <w:compat/>
  <w:rsids>
    <w:rsidRoot w:val="00D418A9"/>
    <w:rsid w:val="00002E46"/>
    <w:rsid w:val="00006F76"/>
    <w:rsid w:val="00016609"/>
    <w:rsid w:val="000178CE"/>
    <w:rsid w:val="000218D3"/>
    <w:rsid w:val="000248B7"/>
    <w:rsid w:val="00027728"/>
    <w:rsid w:val="00030C11"/>
    <w:rsid w:val="00031B52"/>
    <w:rsid w:val="0004401D"/>
    <w:rsid w:val="000479F6"/>
    <w:rsid w:val="00047F17"/>
    <w:rsid w:val="00052E76"/>
    <w:rsid w:val="00053FBA"/>
    <w:rsid w:val="000579ED"/>
    <w:rsid w:val="00066EF6"/>
    <w:rsid w:val="000743C1"/>
    <w:rsid w:val="0007720C"/>
    <w:rsid w:val="000816B7"/>
    <w:rsid w:val="0008211E"/>
    <w:rsid w:val="00083512"/>
    <w:rsid w:val="00083BE4"/>
    <w:rsid w:val="00085F74"/>
    <w:rsid w:val="00090133"/>
    <w:rsid w:val="00095269"/>
    <w:rsid w:val="00095466"/>
    <w:rsid w:val="000A1A35"/>
    <w:rsid w:val="000A33D4"/>
    <w:rsid w:val="000A5566"/>
    <w:rsid w:val="000A6827"/>
    <w:rsid w:val="000A78DD"/>
    <w:rsid w:val="000B14DE"/>
    <w:rsid w:val="000B4EAA"/>
    <w:rsid w:val="000B5B52"/>
    <w:rsid w:val="000C044E"/>
    <w:rsid w:val="000C1970"/>
    <w:rsid w:val="000C5BF5"/>
    <w:rsid w:val="000D0FA3"/>
    <w:rsid w:val="000D3E3B"/>
    <w:rsid w:val="000E1812"/>
    <w:rsid w:val="000E1C45"/>
    <w:rsid w:val="000E2622"/>
    <w:rsid w:val="000E2FC6"/>
    <w:rsid w:val="000F04A2"/>
    <w:rsid w:val="000F4F0A"/>
    <w:rsid w:val="000F59DC"/>
    <w:rsid w:val="000F7CFB"/>
    <w:rsid w:val="001016DB"/>
    <w:rsid w:val="00102551"/>
    <w:rsid w:val="00103EC7"/>
    <w:rsid w:val="0010625B"/>
    <w:rsid w:val="00117DEB"/>
    <w:rsid w:val="00121A1C"/>
    <w:rsid w:val="00127562"/>
    <w:rsid w:val="00143683"/>
    <w:rsid w:val="001507BF"/>
    <w:rsid w:val="00154B7D"/>
    <w:rsid w:val="0015768F"/>
    <w:rsid w:val="001606B6"/>
    <w:rsid w:val="00163C87"/>
    <w:rsid w:val="00170608"/>
    <w:rsid w:val="00171433"/>
    <w:rsid w:val="00175866"/>
    <w:rsid w:val="00175C16"/>
    <w:rsid w:val="001763A9"/>
    <w:rsid w:val="001805A1"/>
    <w:rsid w:val="00180789"/>
    <w:rsid w:val="00187BEF"/>
    <w:rsid w:val="001921A5"/>
    <w:rsid w:val="001A6EFC"/>
    <w:rsid w:val="001B4104"/>
    <w:rsid w:val="001C03A9"/>
    <w:rsid w:val="001C7E1D"/>
    <w:rsid w:val="001D3C09"/>
    <w:rsid w:val="001D74F0"/>
    <w:rsid w:val="001E1621"/>
    <w:rsid w:val="001E19C3"/>
    <w:rsid w:val="001E6095"/>
    <w:rsid w:val="001F4652"/>
    <w:rsid w:val="00203C34"/>
    <w:rsid w:val="00210231"/>
    <w:rsid w:val="002114AF"/>
    <w:rsid w:val="00217A09"/>
    <w:rsid w:val="00224683"/>
    <w:rsid w:val="00224E2B"/>
    <w:rsid w:val="00225E57"/>
    <w:rsid w:val="00226B84"/>
    <w:rsid w:val="002305B5"/>
    <w:rsid w:val="00232CC0"/>
    <w:rsid w:val="00237199"/>
    <w:rsid w:val="002415D0"/>
    <w:rsid w:val="00242007"/>
    <w:rsid w:val="00247097"/>
    <w:rsid w:val="00247B37"/>
    <w:rsid w:val="002553DE"/>
    <w:rsid w:val="00260B64"/>
    <w:rsid w:val="00262944"/>
    <w:rsid w:val="002630A0"/>
    <w:rsid w:val="00265187"/>
    <w:rsid w:val="00265BA6"/>
    <w:rsid w:val="002669BE"/>
    <w:rsid w:val="00270C19"/>
    <w:rsid w:val="00271FFC"/>
    <w:rsid w:val="00277247"/>
    <w:rsid w:val="002834DE"/>
    <w:rsid w:val="00285929"/>
    <w:rsid w:val="0028735C"/>
    <w:rsid w:val="00290960"/>
    <w:rsid w:val="00292E02"/>
    <w:rsid w:val="00293A79"/>
    <w:rsid w:val="00293C2C"/>
    <w:rsid w:val="0029579B"/>
    <w:rsid w:val="002A3196"/>
    <w:rsid w:val="002A430B"/>
    <w:rsid w:val="002A643A"/>
    <w:rsid w:val="002A68E1"/>
    <w:rsid w:val="002B6D2F"/>
    <w:rsid w:val="002B6F65"/>
    <w:rsid w:val="002B6F93"/>
    <w:rsid w:val="002B7835"/>
    <w:rsid w:val="002C4488"/>
    <w:rsid w:val="002C4717"/>
    <w:rsid w:val="002C5848"/>
    <w:rsid w:val="002C7506"/>
    <w:rsid w:val="002D077D"/>
    <w:rsid w:val="002D0B8A"/>
    <w:rsid w:val="002D1BE6"/>
    <w:rsid w:val="002D4398"/>
    <w:rsid w:val="002D49EF"/>
    <w:rsid w:val="002D6533"/>
    <w:rsid w:val="002D7350"/>
    <w:rsid w:val="002E5D4E"/>
    <w:rsid w:val="002E7373"/>
    <w:rsid w:val="002F2114"/>
    <w:rsid w:val="002F4D74"/>
    <w:rsid w:val="002F6CE1"/>
    <w:rsid w:val="00301290"/>
    <w:rsid w:val="00314804"/>
    <w:rsid w:val="0032284E"/>
    <w:rsid w:val="00323187"/>
    <w:rsid w:val="00323DCF"/>
    <w:rsid w:val="00326411"/>
    <w:rsid w:val="00340FFF"/>
    <w:rsid w:val="00341397"/>
    <w:rsid w:val="00344A50"/>
    <w:rsid w:val="00356A8D"/>
    <w:rsid w:val="003646BE"/>
    <w:rsid w:val="00364A5E"/>
    <w:rsid w:val="00364B5C"/>
    <w:rsid w:val="00372525"/>
    <w:rsid w:val="00373F5D"/>
    <w:rsid w:val="00375DE4"/>
    <w:rsid w:val="00377C7C"/>
    <w:rsid w:val="0038484E"/>
    <w:rsid w:val="00387812"/>
    <w:rsid w:val="00387D89"/>
    <w:rsid w:val="00390E46"/>
    <w:rsid w:val="00395449"/>
    <w:rsid w:val="003A0AFD"/>
    <w:rsid w:val="003A6720"/>
    <w:rsid w:val="003A6AB1"/>
    <w:rsid w:val="003B030F"/>
    <w:rsid w:val="003B1D84"/>
    <w:rsid w:val="003B5062"/>
    <w:rsid w:val="003B63BB"/>
    <w:rsid w:val="003B7DA0"/>
    <w:rsid w:val="003C08B8"/>
    <w:rsid w:val="003C241E"/>
    <w:rsid w:val="003C6590"/>
    <w:rsid w:val="003D036D"/>
    <w:rsid w:val="003D1304"/>
    <w:rsid w:val="003D1421"/>
    <w:rsid w:val="003D397B"/>
    <w:rsid w:val="003D4960"/>
    <w:rsid w:val="003E0673"/>
    <w:rsid w:val="003E26EB"/>
    <w:rsid w:val="003E7BF8"/>
    <w:rsid w:val="003F4473"/>
    <w:rsid w:val="003F6B90"/>
    <w:rsid w:val="004024E5"/>
    <w:rsid w:val="0040271F"/>
    <w:rsid w:val="00405DA1"/>
    <w:rsid w:val="00413A90"/>
    <w:rsid w:val="00420A8E"/>
    <w:rsid w:val="0043080E"/>
    <w:rsid w:val="00431893"/>
    <w:rsid w:val="00433C0F"/>
    <w:rsid w:val="0043410A"/>
    <w:rsid w:val="00435873"/>
    <w:rsid w:val="00437849"/>
    <w:rsid w:val="00441A61"/>
    <w:rsid w:val="0045622C"/>
    <w:rsid w:val="00457D11"/>
    <w:rsid w:val="00464000"/>
    <w:rsid w:val="004644BC"/>
    <w:rsid w:val="004721D6"/>
    <w:rsid w:val="00473B5D"/>
    <w:rsid w:val="00473E13"/>
    <w:rsid w:val="00474A39"/>
    <w:rsid w:val="00474B74"/>
    <w:rsid w:val="00491203"/>
    <w:rsid w:val="004912CB"/>
    <w:rsid w:val="00491AB7"/>
    <w:rsid w:val="004938AD"/>
    <w:rsid w:val="00493C3B"/>
    <w:rsid w:val="0049451F"/>
    <w:rsid w:val="004975A2"/>
    <w:rsid w:val="004A0AEC"/>
    <w:rsid w:val="004A21DB"/>
    <w:rsid w:val="004A3D80"/>
    <w:rsid w:val="004A4978"/>
    <w:rsid w:val="004A6ECD"/>
    <w:rsid w:val="004C00AD"/>
    <w:rsid w:val="004C4D9A"/>
    <w:rsid w:val="004E1215"/>
    <w:rsid w:val="004E425C"/>
    <w:rsid w:val="004E6715"/>
    <w:rsid w:val="004E6D26"/>
    <w:rsid w:val="004F1567"/>
    <w:rsid w:val="004F297E"/>
    <w:rsid w:val="004F4177"/>
    <w:rsid w:val="004F5E71"/>
    <w:rsid w:val="004F7A10"/>
    <w:rsid w:val="004F7C3D"/>
    <w:rsid w:val="00501E0E"/>
    <w:rsid w:val="00504DDA"/>
    <w:rsid w:val="00510850"/>
    <w:rsid w:val="005118A9"/>
    <w:rsid w:val="00515E30"/>
    <w:rsid w:val="00520968"/>
    <w:rsid w:val="0052493E"/>
    <w:rsid w:val="00536040"/>
    <w:rsid w:val="00542716"/>
    <w:rsid w:val="00542D70"/>
    <w:rsid w:val="00550683"/>
    <w:rsid w:val="00553F9A"/>
    <w:rsid w:val="00554ED7"/>
    <w:rsid w:val="005620BF"/>
    <w:rsid w:val="0056223A"/>
    <w:rsid w:val="00567E4D"/>
    <w:rsid w:val="00570D3F"/>
    <w:rsid w:val="00574EA2"/>
    <w:rsid w:val="00582445"/>
    <w:rsid w:val="0058388A"/>
    <w:rsid w:val="005901B4"/>
    <w:rsid w:val="0059728F"/>
    <w:rsid w:val="00597B7D"/>
    <w:rsid w:val="005A7563"/>
    <w:rsid w:val="005B2870"/>
    <w:rsid w:val="005B528E"/>
    <w:rsid w:val="005B7945"/>
    <w:rsid w:val="005B7D41"/>
    <w:rsid w:val="005C4A1A"/>
    <w:rsid w:val="005D11EC"/>
    <w:rsid w:val="005D38F8"/>
    <w:rsid w:val="005D5429"/>
    <w:rsid w:val="005D5F89"/>
    <w:rsid w:val="005D7707"/>
    <w:rsid w:val="005E0E0A"/>
    <w:rsid w:val="005E239A"/>
    <w:rsid w:val="005E2C79"/>
    <w:rsid w:val="005E46A2"/>
    <w:rsid w:val="005F17B7"/>
    <w:rsid w:val="005F2BD5"/>
    <w:rsid w:val="005F68BC"/>
    <w:rsid w:val="006001DC"/>
    <w:rsid w:val="00601E43"/>
    <w:rsid w:val="00601EFD"/>
    <w:rsid w:val="00602732"/>
    <w:rsid w:val="006027F0"/>
    <w:rsid w:val="0060285B"/>
    <w:rsid w:val="00604A79"/>
    <w:rsid w:val="00605C0D"/>
    <w:rsid w:val="006112FE"/>
    <w:rsid w:val="00620E74"/>
    <w:rsid w:val="006251EC"/>
    <w:rsid w:val="00625231"/>
    <w:rsid w:val="00626DD0"/>
    <w:rsid w:val="0063045B"/>
    <w:rsid w:val="0064274E"/>
    <w:rsid w:val="00644025"/>
    <w:rsid w:val="006501E2"/>
    <w:rsid w:val="00653D36"/>
    <w:rsid w:val="00661316"/>
    <w:rsid w:val="00662E0A"/>
    <w:rsid w:val="00667F18"/>
    <w:rsid w:val="00670668"/>
    <w:rsid w:val="00670A29"/>
    <w:rsid w:val="006710A4"/>
    <w:rsid w:val="00682093"/>
    <w:rsid w:val="00685146"/>
    <w:rsid w:val="00693370"/>
    <w:rsid w:val="00695C15"/>
    <w:rsid w:val="00697274"/>
    <w:rsid w:val="006A1D50"/>
    <w:rsid w:val="006A28ED"/>
    <w:rsid w:val="006A32DE"/>
    <w:rsid w:val="006A4FD8"/>
    <w:rsid w:val="006B2273"/>
    <w:rsid w:val="006B2B7B"/>
    <w:rsid w:val="006B39D1"/>
    <w:rsid w:val="006B5C99"/>
    <w:rsid w:val="006C1CD9"/>
    <w:rsid w:val="006C262F"/>
    <w:rsid w:val="006C6290"/>
    <w:rsid w:val="006D0379"/>
    <w:rsid w:val="006D0AD6"/>
    <w:rsid w:val="006D1C6F"/>
    <w:rsid w:val="006E0F32"/>
    <w:rsid w:val="006E49B5"/>
    <w:rsid w:val="006E57E6"/>
    <w:rsid w:val="006E7378"/>
    <w:rsid w:val="006E774D"/>
    <w:rsid w:val="00700B28"/>
    <w:rsid w:val="007142CF"/>
    <w:rsid w:val="007149A2"/>
    <w:rsid w:val="00732E30"/>
    <w:rsid w:val="00733AA1"/>
    <w:rsid w:val="00735FAA"/>
    <w:rsid w:val="00737372"/>
    <w:rsid w:val="00741616"/>
    <w:rsid w:val="00742787"/>
    <w:rsid w:val="00757BF0"/>
    <w:rsid w:val="00762377"/>
    <w:rsid w:val="00762ECA"/>
    <w:rsid w:val="00763B57"/>
    <w:rsid w:val="00765528"/>
    <w:rsid w:val="007664ED"/>
    <w:rsid w:val="0077049E"/>
    <w:rsid w:val="00772DA8"/>
    <w:rsid w:val="00773CB2"/>
    <w:rsid w:val="007755B3"/>
    <w:rsid w:val="00775D1F"/>
    <w:rsid w:val="00777D46"/>
    <w:rsid w:val="00780A55"/>
    <w:rsid w:val="00781479"/>
    <w:rsid w:val="0078164A"/>
    <w:rsid w:val="0078340E"/>
    <w:rsid w:val="00783B37"/>
    <w:rsid w:val="0078470C"/>
    <w:rsid w:val="007850A2"/>
    <w:rsid w:val="0078604B"/>
    <w:rsid w:val="007900B8"/>
    <w:rsid w:val="007A2D5A"/>
    <w:rsid w:val="007A5EE8"/>
    <w:rsid w:val="007B2FE1"/>
    <w:rsid w:val="007B50B0"/>
    <w:rsid w:val="007B60AE"/>
    <w:rsid w:val="007B61B4"/>
    <w:rsid w:val="007C0E2E"/>
    <w:rsid w:val="007C0EC1"/>
    <w:rsid w:val="007C1FC6"/>
    <w:rsid w:val="007C392E"/>
    <w:rsid w:val="007C4E0E"/>
    <w:rsid w:val="007C5987"/>
    <w:rsid w:val="007C61F8"/>
    <w:rsid w:val="007C687F"/>
    <w:rsid w:val="007D1F24"/>
    <w:rsid w:val="007D2569"/>
    <w:rsid w:val="007D2EF7"/>
    <w:rsid w:val="007D73CA"/>
    <w:rsid w:val="007E18D3"/>
    <w:rsid w:val="007E252A"/>
    <w:rsid w:val="007E3057"/>
    <w:rsid w:val="007E5A48"/>
    <w:rsid w:val="007F028F"/>
    <w:rsid w:val="007F4158"/>
    <w:rsid w:val="007F5A49"/>
    <w:rsid w:val="007F7FE1"/>
    <w:rsid w:val="00800D7A"/>
    <w:rsid w:val="00806626"/>
    <w:rsid w:val="00815E3B"/>
    <w:rsid w:val="00824BA0"/>
    <w:rsid w:val="008318EC"/>
    <w:rsid w:val="00832378"/>
    <w:rsid w:val="00832E87"/>
    <w:rsid w:val="008476DB"/>
    <w:rsid w:val="0087314C"/>
    <w:rsid w:val="00874212"/>
    <w:rsid w:val="008932B5"/>
    <w:rsid w:val="00896554"/>
    <w:rsid w:val="008B0DDA"/>
    <w:rsid w:val="008C2037"/>
    <w:rsid w:val="008C4018"/>
    <w:rsid w:val="008D271E"/>
    <w:rsid w:val="008D2D67"/>
    <w:rsid w:val="008D394C"/>
    <w:rsid w:val="008D4197"/>
    <w:rsid w:val="008D7A70"/>
    <w:rsid w:val="008E1148"/>
    <w:rsid w:val="008E1541"/>
    <w:rsid w:val="008E1CEF"/>
    <w:rsid w:val="008F189B"/>
    <w:rsid w:val="008F26DB"/>
    <w:rsid w:val="008F3E29"/>
    <w:rsid w:val="008F54ED"/>
    <w:rsid w:val="009038AF"/>
    <w:rsid w:val="009068FD"/>
    <w:rsid w:val="00916ABB"/>
    <w:rsid w:val="0091738F"/>
    <w:rsid w:val="00922664"/>
    <w:rsid w:val="0092722F"/>
    <w:rsid w:val="0093675A"/>
    <w:rsid w:val="00944399"/>
    <w:rsid w:val="009505F7"/>
    <w:rsid w:val="00951B10"/>
    <w:rsid w:val="0095293C"/>
    <w:rsid w:val="00953AFA"/>
    <w:rsid w:val="00956D9A"/>
    <w:rsid w:val="009639B9"/>
    <w:rsid w:val="00964937"/>
    <w:rsid w:val="00967152"/>
    <w:rsid w:val="0097097F"/>
    <w:rsid w:val="00972FF3"/>
    <w:rsid w:val="00973411"/>
    <w:rsid w:val="00982C06"/>
    <w:rsid w:val="009843CC"/>
    <w:rsid w:val="0098763F"/>
    <w:rsid w:val="00987C6F"/>
    <w:rsid w:val="00995391"/>
    <w:rsid w:val="009A04F6"/>
    <w:rsid w:val="009A53F7"/>
    <w:rsid w:val="009B11B9"/>
    <w:rsid w:val="009B46E7"/>
    <w:rsid w:val="009B743C"/>
    <w:rsid w:val="009C7EDE"/>
    <w:rsid w:val="009D26FD"/>
    <w:rsid w:val="009D3817"/>
    <w:rsid w:val="009D56D9"/>
    <w:rsid w:val="009D58B9"/>
    <w:rsid w:val="009E0AC9"/>
    <w:rsid w:val="009E26FB"/>
    <w:rsid w:val="009E2896"/>
    <w:rsid w:val="009E5FAB"/>
    <w:rsid w:val="009E7E61"/>
    <w:rsid w:val="009F2DAF"/>
    <w:rsid w:val="009F3CA4"/>
    <w:rsid w:val="009F5626"/>
    <w:rsid w:val="00A16912"/>
    <w:rsid w:val="00A16A8B"/>
    <w:rsid w:val="00A17150"/>
    <w:rsid w:val="00A17483"/>
    <w:rsid w:val="00A215B5"/>
    <w:rsid w:val="00A21623"/>
    <w:rsid w:val="00A22A99"/>
    <w:rsid w:val="00A256E1"/>
    <w:rsid w:val="00A277C5"/>
    <w:rsid w:val="00A33171"/>
    <w:rsid w:val="00A33A8B"/>
    <w:rsid w:val="00A461DC"/>
    <w:rsid w:val="00A4764D"/>
    <w:rsid w:val="00A53AA0"/>
    <w:rsid w:val="00A55989"/>
    <w:rsid w:val="00A67853"/>
    <w:rsid w:val="00A85030"/>
    <w:rsid w:val="00A86565"/>
    <w:rsid w:val="00A90A13"/>
    <w:rsid w:val="00A90AB8"/>
    <w:rsid w:val="00A91371"/>
    <w:rsid w:val="00A92606"/>
    <w:rsid w:val="00A966CD"/>
    <w:rsid w:val="00A96BC2"/>
    <w:rsid w:val="00AA0FD4"/>
    <w:rsid w:val="00AA3193"/>
    <w:rsid w:val="00AA4BED"/>
    <w:rsid w:val="00AA5554"/>
    <w:rsid w:val="00AB0812"/>
    <w:rsid w:val="00AB34FE"/>
    <w:rsid w:val="00AB746D"/>
    <w:rsid w:val="00AC379B"/>
    <w:rsid w:val="00AC54C3"/>
    <w:rsid w:val="00AC5D68"/>
    <w:rsid w:val="00AC739C"/>
    <w:rsid w:val="00AD1F71"/>
    <w:rsid w:val="00AD295D"/>
    <w:rsid w:val="00AD4012"/>
    <w:rsid w:val="00AD4AFB"/>
    <w:rsid w:val="00AD4FED"/>
    <w:rsid w:val="00AD59C9"/>
    <w:rsid w:val="00AD618F"/>
    <w:rsid w:val="00AD7B21"/>
    <w:rsid w:val="00AE0FAC"/>
    <w:rsid w:val="00AE1ACE"/>
    <w:rsid w:val="00AE1CD9"/>
    <w:rsid w:val="00AE33F1"/>
    <w:rsid w:val="00AE46AB"/>
    <w:rsid w:val="00B00635"/>
    <w:rsid w:val="00B01390"/>
    <w:rsid w:val="00B019BC"/>
    <w:rsid w:val="00B02224"/>
    <w:rsid w:val="00B02323"/>
    <w:rsid w:val="00B03AF5"/>
    <w:rsid w:val="00B0640A"/>
    <w:rsid w:val="00B07E2D"/>
    <w:rsid w:val="00B125B8"/>
    <w:rsid w:val="00B15ADA"/>
    <w:rsid w:val="00B17AAD"/>
    <w:rsid w:val="00B200AF"/>
    <w:rsid w:val="00B231B8"/>
    <w:rsid w:val="00B25E3B"/>
    <w:rsid w:val="00B31D29"/>
    <w:rsid w:val="00B31D6B"/>
    <w:rsid w:val="00B34AB9"/>
    <w:rsid w:val="00B34AC3"/>
    <w:rsid w:val="00B35158"/>
    <w:rsid w:val="00B402EE"/>
    <w:rsid w:val="00B40F6A"/>
    <w:rsid w:val="00B42D11"/>
    <w:rsid w:val="00B437AA"/>
    <w:rsid w:val="00B45B66"/>
    <w:rsid w:val="00B81F2F"/>
    <w:rsid w:val="00B82D90"/>
    <w:rsid w:val="00B84E16"/>
    <w:rsid w:val="00B86455"/>
    <w:rsid w:val="00B924DB"/>
    <w:rsid w:val="00B9387D"/>
    <w:rsid w:val="00BA3B0A"/>
    <w:rsid w:val="00BA7F01"/>
    <w:rsid w:val="00BB251C"/>
    <w:rsid w:val="00BB2F51"/>
    <w:rsid w:val="00BB4CEA"/>
    <w:rsid w:val="00BC0AE2"/>
    <w:rsid w:val="00BC2D39"/>
    <w:rsid w:val="00BC555E"/>
    <w:rsid w:val="00BE1295"/>
    <w:rsid w:val="00BE3FCC"/>
    <w:rsid w:val="00BE57AB"/>
    <w:rsid w:val="00BE76E4"/>
    <w:rsid w:val="00BE78C6"/>
    <w:rsid w:val="00BF06C9"/>
    <w:rsid w:val="00BF53FE"/>
    <w:rsid w:val="00BF6B1C"/>
    <w:rsid w:val="00BF70D7"/>
    <w:rsid w:val="00C01F5E"/>
    <w:rsid w:val="00C06A6B"/>
    <w:rsid w:val="00C07B41"/>
    <w:rsid w:val="00C2151A"/>
    <w:rsid w:val="00C216F5"/>
    <w:rsid w:val="00C27114"/>
    <w:rsid w:val="00C27227"/>
    <w:rsid w:val="00C30222"/>
    <w:rsid w:val="00C36917"/>
    <w:rsid w:val="00C42394"/>
    <w:rsid w:val="00C42ADD"/>
    <w:rsid w:val="00C50502"/>
    <w:rsid w:val="00C5434C"/>
    <w:rsid w:val="00C5581A"/>
    <w:rsid w:val="00C6509D"/>
    <w:rsid w:val="00C73C66"/>
    <w:rsid w:val="00C74CA0"/>
    <w:rsid w:val="00C76C52"/>
    <w:rsid w:val="00C817D3"/>
    <w:rsid w:val="00C826CF"/>
    <w:rsid w:val="00C82C21"/>
    <w:rsid w:val="00C854CC"/>
    <w:rsid w:val="00C91822"/>
    <w:rsid w:val="00C9331F"/>
    <w:rsid w:val="00C95D11"/>
    <w:rsid w:val="00CA370A"/>
    <w:rsid w:val="00CB09F0"/>
    <w:rsid w:val="00CB0EB4"/>
    <w:rsid w:val="00CB3D21"/>
    <w:rsid w:val="00CB54F6"/>
    <w:rsid w:val="00CC3ECD"/>
    <w:rsid w:val="00CC5D22"/>
    <w:rsid w:val="00CD2107"/>
    <w:rsid w:val="00CE1022"/>
    <w:rsid w:val="00CE5269"/>
    <w:rsid w:val="00CE5EF6"/>
    <w:rsid w:val="00CE5FF9"/>
    <w:rsid w:val="00CF1DD9"/>
    <w:rsid w:val="00CF218C"/>
    <w:rsid w:val="00CF5438"/>
    <w:rsid w:val="00CF5FB2"/>
    <w:rsid w:val="00D015EF"/>
    <w:rsid w:val="00D0274B"/>
    <w:rsid w:val="00D04E76"/>
    <w:rsid w:val="00D104CE"/>
    <w:rsid w:val="00D14F09"/>
    <w:rsid w:val="00D1600D"/>
    <w:rsid w:val="00D215AD"/>
    <w:rsid w:val="00D224F0"/>
    <w:rsid w:val="00D22B2D"/>
    <w:rsid w:val="00D254A2"/>
    <w:rsid w:val="00D255CE"/>
    <w:rsid w:val="00D341CC"/>
    <w:rsid w:val="00D418A9"/>
    <w:rsid w:val="00D43D57"/>
    <w:rsid w:val="00D4452A"/>
    <w:rsid w:val="00D50F35"/>
    <w:rsid w:val="00D5274D"/>
    <w:rsid w:val="00D5411F"/>
    <w:rsid w:val="00D577A1"/>
    <w:rsid w:val="00D6429A"/>
    <w:rsid w:val="00D65F00"/>
    <w:rsid w:val="00D66675"/>
    <w:rsid w:val="00D907E8"/>
    <w:rsid w:val="00D91CCF"/>
    <w:rsid w:val="00D92C0D"/>
    <w:rsid w:val="00D941D3"/>
    <w:rsid w:val="00DA775B"/>
    <w:rsid w:val="00DB4BA6"/>
    <w:rsid w:val="00DB6111"/>
    <w:rsid w:val="00DB7088"/>
    <w:rsid w:val="00DC1FFF"/>
    <w:rsid w:val="00DD1E5F"/>
    <w:rsid w:val="00DD2046"/>
    <w:rsid w:val="00DD52AB"/>
    <w:rsid w:val="00DF7836"/>
    <w:rsid w:val="00E0168D"/>
    <w:rsid w:val="00E06502"/>
    <w:rsid w:val="00E11536"/>
    <w:rsid w:val="00E122A3"/>
    <w:rsid w:val="00E1383D"/>
    <w:rsid w:val="00E138AD"/>
    <w:rsid w:val="00E203A0"/>
    <w:rsid w:val="00E2229D"/>
    <w:rsid w:val="00E24B0A"/>
    <w:rsid w:val="00E2737F"/>
    <w:rsid w:val="00E308B2"/>
    <w:rsid w:val="00E35414"/>
    <w:rsid w:val="00E3575D"/>
    <w:rsid w:val="00E36477"/>
    <w:rsid w:val="00E439FC"/>
    <w:rsid w:val="00E52164"/>
    <w:rsid w:val="00E54385"/>
    <w:rsid w:val="00E56EE1"/>
    <w:rsid w:val="00E614E1"/>
    <w:rsid w:val="00E66066"/>
    <w:rsid w:val="00E7130E"/>
    <w:rsid w:val="00E7323B"/>
    <w:rsid w:val="00E73AB2"/>
    <w:rsid w:val="00E749D5"/>
    <w:rsid w:val="00E8126D"/>
    <w:rsid w:val="00E87A06"/>
    <w:rsid w:val="00E952FE"/>
    <w:rsid w:val="00E971A5"/>
    <w:rsid w:val="00EA4B5D"/>
    <w:rsid w:val="00EA5CFF"/>
    <w:rsid w:val="00EA77DC"/>
    <w:rsid w:val="00EB0BBC"/>
    <w:rsid w:val="00EB300A"/>
    <w:rsid w:val="00EC4DEA"/>
    <w:rsid w:val="00EC5E04"/>
    <w:rsid w:val="00ED302E"/>
    <w:rsid w:val="00ED31A7"/>
    <w:rsid w:val="00EE17A8"/>
    <w:rsid w:val="00EE3942"/>
    <w:rsid w:val="00EE7967"/>
    <w:rsid w:val="00EF5E6D"/>
    <w:rsid w:val="00EF7D8B"/>
    <w:rsid w:val="00F045C8"/>
    <w:rsid w:val="00F04EEF"/>
    <w:rsid w:val="00F06FEA"/>
    <w:rsid w:val="00F13101"/>
    <w:rsid w:val="00F15E25"/>
    <w:rsid w:val="00F224EE"/>
    <w:rsid w:val="00F2258F"/>
    <w:rsid w:val="00F233E5"/>
    <w:rsid w:val="00F25CBD"/>
    <w:rsid w:val="00F3177D"/>
    <w:rsid w:val="00F32B01"/>
    <w:rsid w:val="00F345BE"/>
    <w:rsid w:val="00F42D2F"/>
    <w:rsid w:val="00F5040D"/>
    <w:rsid w:val="00F51712"/>
    <w:rsid w:val="00F7141C"/>
    <w:rsid w:val="00F72280"/>
    <w:rsid w:val="00F74F95"/>
    <w:rsid w:val="00F819DC"/>
    <w:rsid w:val="00F8589D"/>
    <w:rsid w:val="00F903AC"/>
    <w:rsid w:val="00F94CD1"/>
    <w:rsid w:val="00F964CE"/>
    <w:rsid w:val="00F977E6"/>
    <w:rsid w:val="00F97844"/>
    <w:rsid w:val="00F97B7D"/>
    <w:rsid w:val="00FA4571"/>
    <w:rsid w:val="00FA56D5"/>
    <w:rsid w:val="00FA7678"/>
    <w:rsid w:val="00FB210A"/>
    <w:rsid w:val="00FB2F49"/>
    <w:rsid w:val="00FB5379"/>
    <w:rsid w:val="00FB70C3"/>
    <w:rsid w:val="00FB7B27"/>
    <w:rsid w:val="00FC2183"/>
    <w:rsid w:val="00FC4D6F"/>
    <w:rsid w:val="00FC6AD8"/>
    <w:rsid w:val="00FC73AC"/>
    <w:rsid w:val="00FD1C2B"/>
    <w:rsid w:val="00FE4D9E"/>
    <w:rsid w:val="00FF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A9"/>
  </w:style>
  <w:style w:type="paragraph" w:styleId="Heading1">
    <w:name w:val="heading 1"/>
    <w:basedOn w:val="Normal"/>
    <w:link w:val="Heading1Char"/>
    <w:uiPriority w:val="9"/>
    <w:qFormat/>
    <w:rsid w:val="002D49E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D4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49E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9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D49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49EF"/>
    <w:rPr>
      <w:rFonts w:eastAsia="Times New Roman" w:cs="Times New Roman"/>
      <w:b/>
      <w:bCs/>
      <w:sz w:val="27"/>
      <w:szCs w:val="27"/>
    </w:rPr>
  </w:style>
  <w:style w:type="character" w:styleId="FootnoteReference">
    <w:name w:val="footnote reference"/>
    <w:basedOn w:val="DefaultParagraphFont"/>
    <w:uiPriority w:val="99"/>
    <w:semiHidden/>
    <w:rsid w:val="00D418A9"/>
    <w:rPr>
      <w:vertAlign w:val="superscript"/>
    </w:rPr>
  </w:style>
  <w:style w:type="paragraph" w:styleId="EndnoteText">
    <w:name w:val="endnote text"/>
    <w:basedOn w:val="Normal"/>
    <w:link w:val="EndnoteTextChar"/>
    <w:semiHidden/>
    <w:rsid w:val="00D418A9"/>
    <w:pPr>
      <w:spacing w:after="0" w:line="240" w:lineRule="auto"/>
    </w:pPr>
    <w:rPr>
      <w:rFonts w:eastAsia="Times New Roman" w:cs="Times New Roman"/>
    </w:rPr>
  </w:style>
  <w:style w:type="character" w:customStyle="1" w:styleId="EndnoteTextChar">
    <w:name w:val="Endnote Text Char"/>
    <w:basedOn w:val="DefaultParagraphFont"/>
    <w:link w:val="EndnoteText"/>
    <w:semiHidden/>
    <w:rsid w:val="00D418A9"/>
    <w:rPr>
      <w:rFonts w:eastAsia="Times New Roman" w:cs="Times New Roman"/>
    </w:rPr>
  </w:style>
  <w:style w:type="character" w:styleId="Hyperlink">
    <w:name w:val="Hyperlink"/>
    <w:basedOn w:val="DefaultParagraphFont"/>
    <w:rsid w:val="00D418A9"/>
    <w:rPr>
      <w:color w:val="0000FF"/>
      <w:u w:val="single"/>
    </w:rPr>
  </w:style>
  <w:style w:type="paragraph" w:styleId="FootnoteText">
    <w:name w:val="footnote text"/>
    <w:basedOn w:val="Normal"/>
    <w:link w:val="FootnoteTextChar"/>
    <w:uiPriority w:val="99"/>
    <w:rsid w:val="00D418A9"/>
    <w:pPr>
      <w:spacing w:after="0" w:line="240" w:lineRule="auto"/>
    </w:pPr>
    <w:rPr>
      <w:rFonts w:eastAsia="MS Mincho" w:cs="Times New Roman"/>
      <w:lang w:eastAsia="ja-JP"/>
    </w:rPr>
  </w:style>
  <w:style w:type="character" w:customStyle="1" w:styleId="FootnoteTextChar">
    <w:name w:val="Footnote Text Char"/>
    <w:basedOn w:val="DefaultParagraphFont"/>
    <w:link w:val="FootnoteText"/>
    <w:uiPriority w:val="99"/>
    <w:rsid w:val="00D418A9"/>
    <w:rPr>
      <w:rFonts w:eastAsia="MS Mincho" w:cs="Times New Roman"/>
      <w:lang w:eastAsia="ja-JP"/>
    </w:rPr>
  </w:style>
  <w:style w:type="paragraph" w:styleId="ListParagraph">
    <w:name w:val="List Paragraph"/>
    <w:basedOn w:val="Normal"/>
    <w:qFormat/>
    <w:rsid w:val="00D418A9"/>
    <w:pPr>
      <w:spacing w:after="0" w:line="240" w:lineRule="auto"/>
      <w:ind w:left="720"/>
    </w:pPr>
    <w:rPr>
      <w:rFonts w:eastAsia="MS Mincho" w:cs="Times New Roman"/>
      <w:sz w:val="24"/>
      <w:szCs w:val="24"/>
      <w:lang w:eastAsia="ja-JP"/>
    </w:rPr>
  </w:style>
  <w:style w:type="paragraph" w:styleId="Footer">
    <w:name w:val="footer"/>
    <w:basedOn w:val="Normal"/>
    <w:link w:val="FooterChar"/>
    <w:uiPriority w:val="99"/>
    <w:unhideWhenUsed/>
    <w:rsid w:val="00D4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A9"/>
  </w:style>
  <w:style w:type="paragraph" w:customStyle="1" w:styleId="Default">
    <w:name w:val="Default"/>
    <w:rsid w:val="00D418A9"/>
    <w:pPr>
      <w:autoSpaceDE w:val="0"/>
      <w:autoSpaceDN w:val="0"/>
      <w:adjustRightInd w:val="0"/>
      <w:spacing w:after="0" w:line="240" w:lineRule="auto"/>
    </w:pPr>
    <w:rPr>
      <w:rFonts w:ascii="Neue Demos" w:hAnsi="Neue Demos" w:cs="Neue Demos"/>
      <w:color w:val="000000"/>
      <w:sz w:val="24"/>
      <w:szCs w:val="24"/>
    </w:rPr>
  </w:style>
  <w:style w:type="table" w:styleId="TableGrid">
    <w:name w:val="Table Grid"/>
    <w:basedOn w:val="TableNormal"/>
    <w:uiPriority w:val="59"/>
    <w:rsid w:val="00D41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18A9"/>
    <w:rPr>
      <w:b/>
      <w:bCs/>
    </w:rPr>
  </w:style>
  <w:style w:type="paragraph" w:styleId="BodyText">
    <w:name w:val="Body Text"/>
    <w:basedOn w:val="Normal"/>
    <w:link w:val="BodyTextChar"/>
    <w:rsid w:val="002D49EF"/>
    <w:pPr>
      <w:widowControl w:val="0"/>
      <w:suppressAutoHyphens/>
      <w:spacing w:after="120" w:line="240" w:lineRule="auto"/>
    </w:pPr>
    <w:rPr>
      <w:rFonts w:eastAsia="Arial Unicode MS" w:cs="Times New Roman"/>
      <w:kern w:val="1"/>
      <w:sz w:val="24"/>
      <w:szCs w:val="24"/>
      <w:lang w:val="en-CA" w:eastAsia="ja-JP"/>
    </w:rPr>
  </w:style>
  <w:style w:type="character" w:customStyle="1" w:styleId="BodyTextChar">
    <w:name w:val="Body Text Char"/>
    <w:basedOn w:val="DefaultParagraphFont"/>
    <w:link w:val="BodyText"/>
    <w:rsid w:val="002D49EF"/>
    <w:rPr>
      <w:rFonts w:eastAsia="Arial Unicode MS" w:cs="Times New Roman"/>
      <w:kern w:val="1"/>
      <w:sz w:val="24"/>
      <w:szCs w:val="24"/>
      <w:lang w:val="en-CA" w:eastAsia="ja-JP"/>
    </w:rPr>
  </w:style>
  <w:style w:type="character" w:customStyle="1" w:styleId="HeaderChar">
    <w:name w:val="Header Char"/>
    <w:basedOn w:val="DefaultParagraphFont"/>
    <w:link w:val="Header"/>
    <w:uiPriority w:val="99"/>
    <w:semiHidden/>
    <w:rsid w:val="002D49EF"/>
  </w:style>
  <w:style w:type="paragraph" w:styleId="Header">
    <w:name w:val="header"/>
    <w:basedOn w:val="Normal"/>
    <w:link w:val="HeaderChar"/>
    <w:uiPriority w:val="99"/>
    <w:semiHidden/>
    <w:unhideWhenUsed/>
    <w:rsid w:val="002D49EF"/>
    <w:pPr>
      <w:tabs>
        <w:tab w:val="center" w:pos="4680"/>
        <w:tab w:val="right" w:pos="9360"/>
      </w:tabs>
      <w:spacing w:after="0" w:line="240" w:lineRule="auto"/>
    </w:pPr>
  </w:style>
  <w:style w:type="paragraph" w:styleId="NormalWeb">
    <w:name w:val="Normal (Web)"/>
    <w:basedOn w:val="Normal"/>
    <w:uiPriority w:val="99"/>
    <w:unhideWhenUsed/>
    <w:rsid w:val="002D49EF"/>
    <w:pPr>
      <w:spacing w:before="100" w:beforeAutospacing="1" w:after="100" w:afterAutospacing="1" w:line="240" w:lineRule="auto"/>
    </w:pPr>
    <w:rPr>
      <w:rFonts w:eastAsia="Times New Roman" w:cs="Times New Roman"/>
      <w:sz w:val="24"/>
      <w:szCs w:val="24"/>
    </w:rPr>
  </w:style>
  <w:style w:type="paragraph" w:customStyle="1" w:styleId="CM7">
    <w:name w:val="CM7"/>
    <w:basedOn w:val="Default"/>
    <w:next w:val="Default"/>
    <w:uiPriority w:val="99"/>
    <w:rsid w:val="002D49EF"/>
    <w:pPr>
      <w:spacing w:line="260" w:lineRule="atLeast"/>
    </w:pPr>
    <w:rPr>
      <w:rFonts w:cstheme="minorBidi"/>
      <w:color w:val="auto"/>
    </w:rPr>
  </w:style>
  <w:style w:type="character" w:customStyle="1" w:styleId="google-src-text1">
    <w:name w:val="google-src-text1"/>
    <w:basedOn w:val="DefaultParagraphFont"/>
    <w:rsid w:val="002D49EF"/>
    <w:rPr>
      <w:vanish/>
      <w:webHidden w:val="0"/>
      <w:specVanish w:val="0"/>
    </w:rPr>
  </w:style>
  <w:style w:type="paragraph" w:customStyle="1" w:styleId="Normalny">
    <w:name w:val="Normalny"/>
    <w:basedOn w:val="Default"/>
    <w:next w:val="Default"/>
    <w:uiPriority w:val="99"/>
    <w:rsid w:val="002D49EF"/>
    <w:rPr>
      <w:rFonts w:ascii="Times New Roman" w:hAnsi="Times New Roman" w:cs="Times New Roman"/>
      <w:color w:val="auto"/>
    </w:rPr>
  </w:style>
  <w:style w:type="character" w:customStyle="1" w:styleId="location">
    <w:name w:val="location"/>
    <w:basedOn w:val="DefaultParagraphFont"/>
    <w:rsid w:val="002D49EF"/>
  </w:style>
  <w:style w:type="character" w:customStyle="1" w:styleId="gray">
    <w:name w:val="gray"/>
    <w:basedOn w:val="DefaultParagraphFont"/>
    <w:rsid w:val="002D49EF"/>
  </w:style>
  <w:style w:type="character" w:customStyle="1" w:styleId="byline">
    <w:name w:val="byline"/>
    <w:basedOn w:val="DefaultParagraphFont"/>
    <w:rsid w:val="002D49EF"/>
  </w:style>
  <w:style w:type="character" w:customStyle="1" w:styleId="hps">
    <w:name w:val="hps"/>
    <w:basedOn w:val="DefaultParagraphFont"/>
    <w:rsid w:val="002D49EF"/>
  </w:style>
  <w:style w:type="character" w:customStyle="1" w:styleId="notranslate">
    <w:name w:val="notranslate"/>
    <w:basedOn w:val="DefaultParagraphFont"/>
    <w:rsid w:val="002D49EF"/>
  </w:style>
  <w:style w:type="character" w:customStyle="1" w:styleId="BalloonTextChar">
    <w:name w:val="Balloon Text Char"/>
    <w:basedOn w:val="DefaultParagraphFont"/>
    <w:link w:val="BalloonText"/>
    <w:uiPriority w:val="99"/>
    <w:semiHidden/>
    <w:rsid w:val="002D49EF"/>
    <w:rPr>
      <w:rFonts w:ascii="Tahoma" w:hAnsi="Tahoma" w:cs="Tahoma"/>
      <w:sz w:val="16"/>
      <w:szCs w:val="16"/>
    </w:rPr>
  </w:style>
  <w:style w:type="paragraph" w:styleId="BalloonText">
    <w:name w:val="Balloon Text"/>
    <w:basedOn w:val="Normal"/>
    <w:link w:val="BalloonTextChar"/>
    <w:uiPriority w:val="99"/>
    <w:semiHidden/>
    <w:unhideWhenUsed/>
    <w:rsid w:val="002D49EF"/>
    <w:pPr>
      <w:spacing w:after="0" w:line="240" w:lineRule="auto"/>
    </w:pPr>
    <w:rPr>
      <w:rFonts w:ascii="Tahoma" w:hAnsi="Tahoma" w:cs="Tahoma"/>
      <w:sz w:val="16"/>
      <w:szCs w:val="16"/>
    </w:rPr>
  </w:style>
  <w:style w:type="character" w:styleId="HTMLCite">
    <w:name w:val="HTML Cite"/>
    <w:basedOn w:val="DefaultParagraphFont"/>
    <w:uiPriority w:val="99"/>
    <w:semiHidden/>
    <w:unhideWhenUsed/>
    <w:rsid w:val="004F4177"/>
    <w:rPr>
      <w:i w:val="0"/>
      <w:iCs w:val="0"/>
      <w:color w:val="009030"/>
    </w:rPr>
  </w:style>
  <w:style w:type="character" w:styleId="EndnoteReference">
    <w:name w:val="endnote reference"/>
    <w:basedOn w:val="DefaultParagraphFont"/>
    <w:semiHidden/>
    <w:rsid w:val="002C5848"/>
    <w:rPr>
      <w:vertAlign w:val="superscript"/>
    </w:rPr>
  </w:style>
  <w:style w:type="character" w:customStyle="1" w:styleId="apple-converted-space">
    <w:name w:val="apple-converted-space"/>
    <w:basedOn w:val="DefaultParagraphFont"/>
    <w:rsid w:val="009F5626"/>
  </w:style>
  <w:style w:type="character" w:styleId="Emphasis">
    <w:name w:val="Emphasis"/>
    <w:basedOn w:val="DefaultParagraphFont"/>
    <w:uiPriority w:val="20"/>
    <w:qFormat/>
    <w:rsid w:val="009F56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A9"/>
  </w:style>
  <w:style w:type="paragraph" w:styleId="Heading1">
    <w:name w:val="heading 1"/>
    <w:basedOn w:val="Normal"/>
    <w:link w:val="Heading1Char"/>
    <w:uiPriority w:val="9"/>
    <w:qFormat/>
    <w:rsid w:val="002D49E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D4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49E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9E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D49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49EF"/>
    <w:rPr>
      <w:rFonts w:eastAsia="Times New Roman" w:cs="Times New Roman"/>
      <w:b/>
      <w:bCs/>
      <w:sz w:val="27"/>
      <w:szCs w:val="27"/>
    </w:rPr>
  </w:style>
  <w:style w:type="character" w:styleId="FootnoteReference">
    <w:name w:val="footnote reference"/>
    <w:basedOn w:val="DefaultParagraphFont"/>
    <w:uiPriority w:val="99"/>
    <w:semiHidden/>
    <w:rsid w:val="00D418A9"/>
    <w:rPr>
      <w:vertAlign w:val="superscript"/>
    </w:rPr>
  </w:style>
  <w:style w:type="paragraph" w:styleId="EndnoteText">
    <w:name w:val="endnote text"/>
    <w:basedOn w:val="Normal"/>
    <w:link w:val="EndnoteTextChar"/>
    <w:semiHidden/>
    <w:rsid w:val="00D418A9"/>
    <w:pPr>
      <w:spacing w:after="0" w:line="240" w:lineRule="auto"/>
    </w:pPr>
    <w:rPr>
      <w:rFonts w:eastAsia="Times New Roman" w:cs="Times New Roman"/>
    </w:rPr>
  </w:style>
  <w:style w:type="character" w:customStyle="1" w:styleId="EndnoteTextChar">
    <w:name w:val="Endnote Text Char"/>
    <w:basedOn w:val="DefaultParagraphFont"/>
    <w:link w:val="EndnoteText"/>
    <w:semiHidden/>
    <w:rsid w:val="00D418A9"/>
    <w:rPr>
      <w:rFonts w:eastAsia="Times New Roman" w:cs="Times New Roman"/>
    </w:rPr>
  </w:style>
  <w:style w:type="character" w:styleId="Hyperlink">
    <w:name w:val="Hyperlink"/>
    <w:basedOn w:val="DefaultParagraphFont"/>
    <w:rsid w:val="00D418A9"/>
    <w:rPr>
      <w:color w:val="0000FF"/>
      <w:u w:val="single"/>
    </w:rPr>
  </w:style>
  <w:style w:type="paragraph" w:styleId="FootnoteText">
    <w:name w:val="footnote text"/>
    <w:basedOn w:val="Normal"/>
    <w:link w:val="FootnoteTextChar"/>
    <w:uiPriority w:val="99"/>
    <w:rsid w:val="00D418A9"/>
    <w:pPr>
      <w:spacing w:after="0" w:line="240" w:lineRule="auto"/>
    </w:pPr>
    <w:rPr>
      <w:rFonts w:eastAsia="MS Mincho" w:cs="Times New Roman"/>
      <w:lang w:eastAsia="ja-JP"/>
    </w:rPr>
  </w:style>
  <w:style w:type="character" w:customStyle="1" w:styleId="FootnoteTextChar">
    <w:name w:val="Footnote Text Char"/>
    <w:basedOn w:val="DefaultParagraphFont"/>
    <w:link w:val="FootnoteText"/>
    <w:uiPriority w:val="99"/>
    <w:rsid w:val="00D418A9"/>
    <w:rPr>
      <w:rFonts w:eastAsia="MS Mincho" w:cs="Times New Roman"/>
      <w:lang w:eastAsia="ja-JP"/>
    </w:rPr>
  </w:style>
  <w:style w:type="paragraph" w:styleId="ListParagraph">
    <w:name w:val="List Paragraph"/>
    <w:basedOn w:val="Normal"/>
    <w:uiPriority w:val="34"/>
    <w:qFormat/>
    <w:rsid w:val="00D418A9"/>
    <w:pPr>
      <w:spacing w:after="0" w:line="240" w:lineRule="auto"/>
      <w:ind w:left="720"/>
    </w:pPr>
    <w:rPr>
      <w:rFonts w:eastAsia="MS Mincho" w:cs="Times New Roman"/>
      <w:sz w:val="24"/>
      <w:szCs w:val="24"/>
      <w:lang w:eastAsia="ja-JP"/>
    </w:rPr>
  </w:style>
  <w:style w:type="paragraph" w:styleId="Footer">
    <w:name w:val="footer"/>
    <w:basedOn w:val="Normal"/>
    <w:link w:val="FooterChar"/>
    <w:uiPriority w:val="99"/>
    <w:unhideWhenUsed/>
    <w:rsid w:val="00D4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A9"/>
  </w:style>
  <w:style w:type="paragraph" w:customStyle="1" w:styleId="Default">
    <w:name w:val="Default"/>
    <w:rsid w:val="00D418A9"/>
    <w:pPr>
      <w:autoSpaceDE w:val="0"/>
      <w:autoSpaceDN w:val="0"/>
      <w:adjustRightInd w:val="0"/>
      <w:spacing w:after="0" w:line="240" w:lineRule="auto"/>
    </w:pPr>
    <w:rPr>
      <w:rFonts w:ascii="Neue Demos" w:hAnsi="Neue Demos" w:cs="Neue Demos"/>
      <w:color w:val="000000"/>
      <w:sz w:val="24"/>
      <w:szCs w:val="24"/>
    </w:rPr>
  </w:style>
  <w:style w:type="table" w:styleId="TableGrid">
    <w:name w:val="Table Grid"/>
    <w:basedOn w:val="TableNormal"/>
    <w:uiPriority w:val="59"/>
    <w:rsid w:val="00D41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18A9"/>
    <w:rPr>
      <w:b/>
      <w:bCs/>
    </w:rPr>
  </w:style>
  <w:style w:type="paragraph" w:styleId="BodyText">
    <w:name w:val="Body Text"/>
    <w:basedOn w:val="Normal"/>
    <w:link w:val="BodyTextChar"/>
    <w:rsid w:val="002D49EF"/>
    <w:pPr>
      <w:widowControl w:val="0"/>
      <w:suppressAutoHyphens/>
      <w:spacing w:after="120" w:line="240" w:lineRule="auto"/>
    </w:pPr>
    <w:rPr>
      <w:rFonts w:eastAsia="Arial Unicode MS" w:cs="Times New Roman"/>
      <w:kern w:val="1"/>
      <w:sz w:val="24"/>
      <w:szCs w:val="24"/>
      <w:lang w:val="en-CA" w:eastAsia="ja-JP"/>
    </w:rPr>
  </w:style>
  <w:style w:type="character" w:customStyle="1" w:styleId="BodyTextChar">
    <w:name w:val="Body Text Char"/>
    <w:basedOn w:val="DefaultParagraphFont"/>
    <w:link w:val="BodyText"/>
    <w:rsid w:val="002D49EF"/>
    <w:rPr>
      <w:rFonts w:eastAsia="Arial Unicode MS" w:cs="Times New Roman"/>
      <w:kern w:val="1"/>
      <w:sz w:val="24"/>
      <w:szCs w:val="24"/>
      <w:lang w:val="en-CA" w:eastAsia="ja-JP"/>
    </w:rPr>
  </w:style>
  <w:style w:type="character" w:customStyle="1" w:styleId="HeaderChar">
    <w:name w:val="Header Char"/>
    <w:basedOn w:val="DefaultParagraphFont"/>
    <w:link w:val="Header"/>
    <w:uiPriority w:val="99"/>
    <w:semiHidden/>
    <w:rsid w:val="002D49EF"/>
  </w:style>
  <w:style w:type="paragraph" w:styleId="Header">
    <w:name w:val="header"/>
    <w:basedOn w:val="Normal"/>
    <w:link w:val="HeaderChar"/>
    <w:uiPriority w:val="99"/>
    <w:semiHidden/>
    <w:unhideWhenUsed/>
    <w:rsid w:val="002D49EF"/>
    <w:pPr>
      <w:tabs>
        <w:tab w:val="center" w:pos="4680"/>
        <w:tab w:val="right" w:pos="9360"/>
      </w:tabs>
      <w:spacing w:after="0" w:line="240" w:lineRule="auto"/>
    </w:pPr>
  </w:style>
  <w:style w:type="paragraph" w:styleId="NormalWeb">
    <w:name w:val="Normal (Web)"/>
    <w:basedOn w:val="Normal"/>
    <w:uiPriority w:val="99"/>
    <w:unhideWhenUsed/>
    <w:rsid w:val="002D49EF"/>
    <w:pPr>
      <w:spacing w:before="100" w:beforeAutospacing="1" w:after="100" w:afterAutospacing="1" w:line="240" w:lineRule="auto"/>
    </w:pPr>
    <w:rPr>
      <w:rFonts w:eastAsia="Times New Roman" w:cs="Times New Roman"/>
      <w:sz w:val="24"/>
      <w:szCs w:val="24"/>
    </w:rPr>
  </w:style>
  <w:style w:type="paragraph" w:customStyle="1" w:styleId="CM7">
    <w:name w:val="CM7"/>
    <w:basedOn w:val="Default"/>
    <w:next w:val="Default"/>
    <w:uiPriority w:val="99"/>
    <w:rsid w:val="002D49EF"/>
    <w:pPr>
      <w:spacing w:line="260" w:lineRule="atLeast"/>
    </w:pPr>
    <w:rPr>
      <w:rFonts w:cstheme="minorBidi"/>
      <w:color w:val="auto"/>
    </w:rPr>
  </w:style>
  <w:style w:type="character" w:customStyle="1" w:styleId="google-src-text1">
    <w:name w:val="google-src-text1"/>
    <w:basedOn w:val="DefaultParagraphFont"/>
    <w:rsid w:val="002D49EF"/>
    <w:rPr>
      <w:vanish/>
      <w:webHidden w:val="0"/>
      <w:specVanish w:val="0"/>
    </w:rPr>
  </w:style>
  <w:style w:type="paragraph" w:customStyle="1" w:styleId="Normalny">
    <w:name w:val="Normalny"/>
    <w:basedOn w:val="Default"/>
    <w:next w:val="Default"/>
    <w:uiPriority w:val="99"/>
    <w:rsid w:val="002D49EF"/>
    <w:rPr>
      <w:rFonts w:ascii="Times New Roman" w:hAnsi="Times New Roman" w:cs="Times New Roman"/>
      <w:color w:val="auto"/>
    </w:rPr>
  </w:style>
  <w:style w:type="character" w:customStyle="1" w:styleId="location">
    <w:name w:val="location"/>
    <w:basedOn w:val="DefaultParagraphFont"/>
    <w:rsid w:val="002D49EF"/>
  </w:style>
  <w:style w:type="character" w:customStyle="1" w:styleId="gray">
    <w:name w:val="gray"/>
    <w:basedOn w:val="DefaultParagraphFont"/>
    <w:rsid w:val="002D49EF"/>
  </w:style>
  <w:style w:type="character" w:customStyle="1" w:styleId="byline">
    <w:name w:val="byline"/>
    <w:basedOn w:val="DefaultParagraphFont"/>
    <w:rsid w:val="002D49EF"/>
  </w:style>
  <w:style w:type="character" w:customStyle="1" w:styleId="hps">
    <w:name w:val="hps"/>
    <w:basedOn w:val="DefaultParagraphFont"/>
    <w:rsid w:val="002D49EF"/>
  </w:style>
  <w:style w:type="character" w:customStyle="1" w:styleId="notranslate">
    <w:name w:val="notranslate"/>
    <w:basedOn w:val="DefaultParagraphFont"/>
    <w:rsid w:val="002D49EF"/>
  </w:style>
  <w:style w:type="character" w:customStyle="1" w:styleId="BalloonTextChar">
    <w:name w:val="Balloon Text Char"/>
    <w:basedOn w:val="DefaultParagraphFont"/>
    <w:link w:val="BalloonText"/>
    <w:uiPriority w:val="99"/>
    <w:semiHidden/>
    <w:rsid w:val="002D49EF"/>
    <w:rPr>
      <w:rFonts w:ascii="Tahoma" w:hAnsi="Tahoma" w:cs="Tahoma"/>
      <w:sz w:val="16"/>
      <w:szCs w:val="16"/>
    </w:rPr>
  </w:style>
  <w:style w:type="paragraph" w:styleId="BalloonText">
    <w:name w:val="Balloon Text"/>
    <w:basedOn w:val="Normal"/>
    <w:link w:val="BalloonTextChar"/>
    <w:uiPriority w:val="99"/>
    <w:semiHidden/>
    <w:unhideWhenUsed/>
    <w:rsid w:val="002D49EF"/>
    <w:pPr>
      <w:spacing w:after="0" w:line="240" w:lineRule="auto"/>
    </w:pPr>
    <w:rPr>
      <w:rFonts w:ascii="Tahoma" w:hAnsi="Tahoma" w:cs="Tahoma"/>
      <w:sz w:val="16"/>
      <w:szCs w:val="16"/>
    </w:rPr>
  </w:style>
  <w:style w:type="character" w:styleId="HTMLCite">
    <w:name w:val="HTML Cite"/>
    <w:basedOn w:val="DefaultParagraphFont"/>
    <w:uiPriority w:val="99"/>
    <w:semiHidden/>
    <w:unhideWhenUsed/>
    <w:rsid w:val="004F4177"/>
    <w:rPr>
      <w:i w:val="0"/>
      <w:iCs w:val="0"/>
      <w:color w:val="009030"/>
    </w:rPr>
  </w:style>
  <w:style w:type="character" w:styleId="EndnoteReference">
    <w:name w:val="endnote reference"/>
    <w:basedOn w:val="DefaultParagraphFont"/>
    <w:semiHidden/>
    <w:rsid w:val="002C5848"/>
    <w:rPr>
      <w:vertAlign w:val="superscript"/>
    </w:rPr>
  </w:style>
</w:styles>
</file>

<file path=word/webSettings.xml><?xml version="1.0" encoding="utf-8"?>
<w:webSettings xmlns:r="http://schemas.openxmlformats.org/officeDocument/2006/relationships" xmlns:w="http://schemas.openxmlformats.org/wordprocessingml/2006/main">
  <w:divs>
    <w:div w:id="101536184">
      <w:bodyDiv w:val="1"/>
      <w:marLeft w:val="0"/>
      <w:marRight w:val="0"/>
      <w:marTop w:val="0"/>
      <w:marBottom w:val="0"/>
      <w:divBdr>
        <w:top w:val="none" w:sz="0" w:space="0" w:color="auto"/>
        <w:left w:val="none" w:sz="0" w:space="0" w:color="auto"/>
        <w:bottom w:val="none" w:sz="0" w:space="0" w:color="auto"/>
        <w:right w:val="none" w:sz="0" w:space="0" w:color="auto"/>
      </w:divBdr>
    </w:div>
    <w:div w:id="775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nthia.Horne@wwu.edu" TargetMode="External"/><Relationship Id="rId13" Type="http://schemas.openxmlformats.org/officeDocument/2006/relationships/hyperlink" Target="http://www.comdos.bg/&#1044;&#1086;&#1082;&#1083;&#1072;&#1076;&#1080;_&#1087;&#1088;&#1077;&#1076;_&#1053;&#1072;&#1088;&#1086;&#1076;&#1085;&#1086;&#1090;&#1086;_&#1089;&#1098;&#1073;&#1088;&#1072;&#1085;&#1080;&#1077;" TargetMode="External"/><Relationship Id="rId18" Type="http://schemas.openxmlformats.org/officeDocument/2006/relationships/hyperlink" Target="http://www.tol.org/client/article/13493-wildsteins-list.html?print" TargetMode="External"/><Relationship Id="rId26" Type="http://schemas.openxmlformats.org/officeDocument/2006/relationships/hyperlink" Target="http://www.cnsas.ro/rapoarte.html" TargetMode="External"/><Relationship Id="rId3" Type="http://schemas.openxmlformats.org/officeDocument/2006/relationships/styles" Target="styles.xml"/><Relationship Id="rId21" Type="http://schemas.openxmlformats.org/officeDocument/2006/relationships/hyperlink" Target="http://lett.ubbcluj.ro/~echinox/caiete1/18.html" TargetMode="External"/><Relationship Id="rId7" Type="http://schemas.openxmlformats.org/officeDocument/2006/relationships/endnotes" Target="endnotes.xml"/><Relationship Id="rId12" Type="http://schemas.openxmlformats.org/officeDocument/2006/relationships/hyperlink" Target="http://www.comdos.bg/media/Dokladi/doklad--2-2012.pdf" TargetMode="External"/><Relationship Id="rId17" Type="http://schemas.openxmlformats.org/officeDocument/2006/relationships/hyperlink" Target="http://colbud.hu/honesty-trust/horne/LeviHorne.doc" TargetMode="External"/><Relationship Id="rId25" Type="http://schemas.openxmlformats.org/officeDocument/2006/relationships/hyperlink" Target="http://www.cnsas.ro/rapoarte.html" TargetMode="External"/><Relationship Id="rId2" Type="http://schemas.openxmlformats.org/officeDocument/2006/relationships/numbering" Target="numbering.xml"/><Relationship Id="rId16" Type="http://schemas.openxmlformats.org/officeDocument/2006/relationships/hyperlink" Target="http://cynthiamhorne.weebly.com/uploads/8/9/9/8/8998042/2009_horne-international_legal_rulings_on_lustration_article_-_copy.pdf" TargetMode="External"/><Relationship Id="rId20" Type="http://schemas.openxmlformats.org/officeDocument/2006/relationships/hyperlink" Target="http://laviniastan.wordpres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dos.bg/&#1044;&#1086;&#1082;&#1083;&#1072;&#1076;&#1080;_&#1087;&#1088;&#1077;&#1076;_&#1053;&#1072;&#1088;&#1086;&#1076;&#1085;&#1086;&#1090;&#1086;_&#1089;&#1098;&#1073;&#1088;&#1072;&#1085;&#1080;&#1077;" TargetMode="External"/><Relationship Id="rId24" Type="http://schemas.openxmlformats.org/officeDocument/2006/relationships/hyperlink" Target="http://www.comdos.bg/&#1044;&#1086;&#1082;&#1083;&#1072;&#1076;&#1080;_&#1087;&#1088;&#1077;&#1076;_&#1053;&#1072;&#1088;&#1086;&#1076;&#1085;&#1086;&#1090;&#1086;_&#1089;&#1098;&#1073;&#1088;&#1072;&#1085;&#1080;&#1077;" TargetMode="External"/><Relationship Id="rId5" Type="http://schemas.openxmlformats.org/officeDocument/2006/relationships/webSettings" Target="webSettings.xml"/><Relationship Id="rId15" Type="http://schemas.openxmlformats.org/officeDocument/2006/relationships/hyperlink" Target="http://www.cnsas.ro/rapoarte.html" TargetMode="External"/><Relationship Id="rId23" Type="http://schemas.openxmlformats.org/officeDocument/2006/relationships/hyperlink" Target="http://www.comdos.bg/&#1044;&#1086;&#1082;&#1083;&#1072;&#1076;&#1080;_&#1087;&#1088;&#1077;&#1076;_&#1053;&#1072;&#1088;&#1086;&#1076;&#1085;&#1086;&#1090;&#1086;_&#1089;&#1098;&#1073;&#1088;&#1072;&#1085;&#1080;&#1077;" TargetMode="External"/><Relationship Id="rId28" Type="http://schemas.openxmlformats.org/officeDocument/2006/relationships/fontTable" Target="fontTable.xml"/><Relationship Id="rId10" Type="http://schemas.openxmlformats.org/officeDocument/2006/relationships/hyperlink" Target="http://www.bbc.co.uk/romanian/forum/story/2006/06/060616_voiculescu_securitate_cnsas.shtml" TargetMode="External"/><Relationship Id="rId19" Type="http://schemas.openxmlformats.org/officeDocument/2006/relationships/hyperlink" Target="http://lex.bg/bg/laws/ldoc/2135540283" TargetMode="External"/><Relationship Id="rId4" Type="http://schemas.openxmlformats.org/officeDocument/2006/relationships/settings" Target="settings.xml"/><Relationship Id="rId9" Type="http://schemas.openxmlformats.org/officeDocument/2006/relationships/hyperlink" Target="http://en.wikipedia.org/wiki/Patriarch_of_Bulgaria" TargetMode="External"/><Relationship Id="rId14" Type="http://schemas.openxmlformats.org/officeDocument/2006/relationships/hyperlink" Target="http://www.cnsas.ro/rapoarte.html" TargetMode="External"/><Relationship Id="rId22" Type="http://schemas.openxmlformats.org/officeDocument/2006/relationships/hyperlink" Target="http://www.hungarianquarterly.com/no146/p51.shtml" TargetMode="External"/><Relationship Id="rId27" Type="http://schemas.openxmlformats.org/officeDocument/2006/relationships/footer" Target="footer1.xml"/><Relationship Id="rId30" Type="http://schemas.microsoft.com/office/2007/relationships/stylesWithEffects" Target="stylesWithEffects.xml"/></Relationships>
</file>

<file path=word/_rels/endnotes.xml.rels><?xml version="1.0" encoding="UTF-8" standalone="yes"?>
<Relationships xmlns="http://schemas.openxmlformats.org/package/2006/relationships"><Relationship Id="rId8" Type="http://schemas.openxmlformats.org/officeDocument/2006/relationships/hyperlink" Target="http://www.comdos.bg/" TargetMode="External"/><Relationship Id="rId3" Type="http://schemas.openxmlformats.org/officeDocument/2006/relationships/hyperlink" Target="http://www.comdos.bg/media/Nashite%20izdania/spisanie-2-final-(9).pdf" TargetMode="External"/><Relationship Id="rId7" Type="http://schemas.openxmlformats.org/officeDocument/2006/relationships/hyperlink" Target="http://www.comdos.bg/media/Dokladi/doklad--2-2012.pdf" TargetMode="External"/><Relationship Id="rId2" Type="http://schemas.openxmlformats.org/officeDocument/2006/relationships/hyperlink" Target="http://www.comdos.bg/&#1057;&#1098;&#1089;&#1090;&#1072;&#1074;_&#1085;&#1072;_&#1082;&#1086;&#1084;&#1080;&#1089;&#1080;&#1103;&#1090;&#1072;" TargetMode="External"/><Relationship Id="rId1" Type="http://schemas.openxmlformats.org/officeDocument/2006/relationships/hyperlink" Target="http://www.comdos.bg/&#1044;&#1086;&#1082;&#1083;&#1072;&#1076;&#1080;_&#1087;&#1088;&#1077;&#1076;_&#1053;&#1072;&#1088;&#1086;&#1076;&#1085;&#1086;&#1090;&#1086;_&#1089;&#1098;&#1073;&#1088;&#1072;&#1085;&#1080;&#1077;" TargetMode="External"/><Relationship Id="rId6" Type="http://schemas.openxmlformats.org/officeDocument/2006/relationships/hyperlink" Target="http://www.comdos.bg/&#1044;&#1086;&#1082;&#1083;&#1072;&#1076;&#1080;_&#1087;&#1088;&#1077;&#1076;_&#1053;&#1072;&#1088;&#1086;&#1076;&#1085;&#1086;&#1090;&#1086;_&#1089;&#1098;&#1073;&#1088;&#1072;&#1085;&#1080;&#1077;" TargetMode="External"/><Relationship Id="rId5" Type="http://schemas.openxmlformats.org/officeDocument/2006/relationships/hyperlink" Target="http://www.cnsas.ro/" TargetMode="External"/><Relationship Id="rId10" Type="http://schemas.openxmlformats.org/officeDocument/2006/relationships/hyperlink" Target="http://www.cnsas.ro" TargetMode="External"/><Relationship Id="rId4" Type="http://schemas.openxmlformats.org/officeDocument/2006/relationships/hyperlink" Target="http://lege5.ro/Gratuit/gmzdqnzthe/law-nr-187-1999-on-the-access-to-the-personal-file-and-the-disclosure-of-the-securitate-as-a-political-police" TargetMode="External"/><Relationship Id="rId9" Type="http://schemas.openxmlformats.org/officeDocument/2006/relationships/hyperlink" Target="http://www.cnsas.ro/rapoar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AAF21-9852-4816-BAB6-9BF90A18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39</Pages>
  <Words>11171</Words>
  <Characters>63679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37</cp:revision>
  <cp:lastPrinted>2014-02-04T20:25:00Z</cp:lastPrinted>
  <dcterms:created xsi:type="dcterms:W3CDTF">2014-04-30T23:38:00Z</dcterms:created>
  <dcterms:modified xsi:type="dcterms:W3CDTF">2014-06-16T17:54:00Z</dcterms:modified>
</cp:coreProperties>
</file>