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00" w:rsidRDefault="003A7732" w:rsidP="007F7325">
      <w:pPr>
        <w:spacing w:after="0" w:line="480" w:lineRule="auto"/>
        <w:jc w:val="center"/>
        <w:rPr>
          <w:rFonts w:ascii="Times New Roman" w:hAnsi="Times New Roman" w:cs="Times New Roman"/>
          <w:color w:val="212121"/>
          <w:sz w:val="24"/>
          <w:szCs w:val="24"/>
          <w:shd w:val="clear" w:color="auto" w:fill="FFFFFF"/>
        </w:rPr>
      </w:pPr>
      <w:r w:rsidRPr="00961E55">
        <w:rPr>
          <w:rFonts w:ascii="Times New Roman" w:hAnsi="Times New Roman" w:cs="Times New Roman"/>
          <w:b/>
          <w:color w:val="212121"/>
          <w:sz w:val="24"/>
          <w:szCs w:val="24"/>
          <w:shd w:val="clear" w:color="auto" w:fill="FFFFFF"/>
        </w:rPr>
        <w:t>Introduction</w:t>
      </w:r>
      <w:r w:rsidRPr="00961E55">
        <w:rPr>
          <w:rFonts w:ascii="Times New Roman" w:hAnsi="Times New Roman" w:cs="Times New Roman"/>
          <w:b/>
          <w:color w:val="212121"/>
          <w:sz w:val="24"/>
          <w:szCs w:val="24"/>
        </w:rPr>
        <w:br/>
      </w:r>
      <w:r w:rsidRPr="00961E55">
        <w:rPr>
          <w:rFonts w:ascii="Times New Roman" w:hAnsi="Times New Roman" w:cs="Times New Roman"/>
          <w:b/>
          <w:color w:val="212121"/>
          <w:sz w:val="24"/>
          <w:szCs w:val="24"/>
          <w:shd w:val="clear" w:color="auto" w:fill="FFFFFF"/>
        </w:rPr>
        <w:t>Cynthia M. Horne</w:t>
      </w:r>
    </w:p>
    <w:p w:rsidR="007546A2" w:rsidRPr="007546A2" w:rsidRDefault="007546A2" w:rsidP="007F7325">
      <w:pPr>
        <w:spacing w:after="0" w:line="480" w:lineRule="auto"/>
        <w:jc w:val="center"/>
        <w:rPr>
          <w:rFonts w:ascii="Times New Roman" w:hAnsi="Times New Roman" w:cs="Times New Roman"/>
          <w:color w:val="212121"/>
          <w:sz w:val="24"/>
          <w:szCs w:val="24"/>
        </w:rPr>
      </w:pPr>
    </w:p>
    <w:p w:rsidR="00B52500" w:rsidRDefault="003A7732" w:rsidP="007F7325">
      <w:pPr>
        <w:spacing w:after="0" w:line="480" w:lineRule="auto"/>
        <w:ind w:firstLine="720"/>
        <w:rPr>
          <w:rFonts w:ascii="Times New Roman" w:hAnsi="Times New Roman" w:cs="Times New Roman"/>
          <w:color w:val="212121"/>
          <w:sz w:val="24"/>
          <w:szCs w:val="24"/>
        </w:rPr>
      </w:pPr>
      <w:r w:rsidRPr="00961E55">
        <w:rPr>
          <w:rFonts w:ascii="Times New Roman" w:hAnsi="Times New Roman" w:cs="Times New Roman"/>
          <w:color w:val="212121"/>
          <w:sz w:val="24"/>
          <w:szCs w:val="24"/>
          <w:shd w:val="clear" w:color="auto" w:fill="FFFFFF"/>
        </w:rPr>
        <w:t>A significant amount of scholarly attention has been paid to both the origin and the impact of post-communist transitional justice measures, and complementary memory politics issues, in Central and Eastern Europe (CEE) since the fall of the Berlin Wall in 1989. This has allowed scholars to compare and evaluate programs across the region in order to better understand the conditions under which transitional justice has (or has not) supported regional post-communist transitions.</w:t>
      </w:r>
      <w:r w:rsidRPr="00961E55">
        <w:rPr>
          <w:rStyle w:val="EndnoteReference"/>
          <w:rFonts w:ascii="Times New Roman" w:hAnsi="Times New Roman" w:cs="Times New Roman"/>
          <w:sz w:val="24"/>
          <w:szCs w:val="24"/>
        </w:rPr>
        <w:endnoteReference w:id="1"/>
      </w:r>
      <w:r w:rsidRPr="00961E55">
        <w:rPr>
          <w:rFonts w:ascii="Times New Roman" w:hAnsi="Times New Roman" w:cs="Times New Roman"/>
          <w:color w:val="212121"/>
          <w:sz w:val="24"/>
          <w:szCs w:val="24"/>
          <w:shd w:val="clear" w:color="auto" w:fill="FFFFFF"/>
        </w:rPr>
        <w:t xml:space="preserve"> In contrast, there has been a relative dearth of scholarship on transitional justice, accountability measures, and/or memory politics in the Former Soviet Union (FSU). To be fair, the absence of robust transitional justice programs in the FSU has left less for scholars to engage with, however, ignoring the use and abuse of measures in the FSU constitutes an oversight in the transitional justice and post-communist literatures. The FSU republics are </w:t>
      </w:r>
      <w:proofErr w:type="gramStart"/>
      <w:r w:rsidRPr="00961E55">
        <w:rPr>
          <w:rFonts w:ascii="Times New Roman" w:hAnsi="Times New Roman" w:cs="Times New Roman"/>
          <w:color w:val="212121"/>
          <w:sz w:val="24"/>
          <w:szCs w:val="24"/>
          <w:shd w:val="clear" w:color="auto" w:fill="FFFFFF"/>
        </w:rPr>
        <w:t>important</w:t>
      </w:r>
      <w:proofErr w:type="gramEnd"/>
      <w:r w:rsidRPr="00961E55">
        <w:rPr>
          <w:rFonts w:ascii="Times New Roman" w:hAnsi="Times New Roman" w:cs="Times New Roman"/>
          <w:color w:val="212121"/>
          <w:sz w:val="24"/>
          <w:szCs w:val="24"/>
          <w:shd w:val="clear" w:color="auto" w:fill="FFFFFF"/>
        </w:rPr>
        <w:t xml:space="preserve"> cases both for the measures they adopted and those they rejected. In other words, the origin or rejection of transitional justice in the FSU and the impact of both the presence and absence of transitional justice in the FSU are critical and under-examined research tracks.</w:t>
      </w:r>
    </w:p>
    <w:p w:rsidR="00B52500" w:rsidRDefault="003A7732" w:rsidP="007F7325">
      <w:pPr>
        <w:spacing w:after="0" w:line="480" w:lineRule="auto"/>
        <w:ind w:firstLine="720"/>
        <w:rPr>
          <w:rFonts w:ascii="Times New Roman" w:hAnsi="Times New Roman" w:cs="Times New Roman"/>
          <w:color w:val="212121"/>
          <w:sz w:val="24"/>
          <w:szCs w:val="24"/>
        </w:rPr>
      </w:pPr>
      <w:r w:rsidRPr="00961E55">
        <w:rPr>
          <w:rFonts w:ascii="Times New Roman" w:hAnsi="Times New Roman" w:cs="Times New Roman"/>
          <w:color w:val="212121"/>
          <w:sz w:val="24"/>
          <w:szCs w:val="24"/>
          <w:shd w:val="clear" w:color="auto" w:fill="FFFFFF"/>
        </w:rPr>
        <w:t xml:space="preserve">This volume aims to fill this lacuna with an examination of the efforts of state and non-state actors in the FSU to either reckon with or alternately obstruct the recent and more distant communist past, with an eye to how these choices might affect the future. In particular, twenty-five years after the Soviet Union was dismantled and the successor republics moved away from the communist regimes, this volume examines the adoption and rejection of transitional justice measures among the FSU republics, and explores the impact of those transitional justice choices on state-building and societal reconciliation efforts. The volume treats both transitional justice </w:t>
      </w:r>
      <w:r w:rsidRPr="00961E55">
        <w:rPr>
          <w:rFonts w:ascii="Times New Roman" w:hAnsi="Times New Roman" w:cs="Times New Roman"/>
          <w:color w:val="212121"/>
          <w:sz w:val="24"/>
          <w:szCs w:val="24"/>
          <w:shd w:val="clear" w:color="auto" w:fill="FFFFFF"/>
        </w:rPr>
        <w:lastRenderedPageBreak/>
        <w:t xml:space="preserve">measures and possible transition outcomes or goals broadly, to be maximally inclusive of a range of subtle measures and outcomes given the relative limited use of formal transitional justice in the FSU. To that end, the volume considers traditional transitional justice measures, such as lustration laws, file access provisions, trials, and truth commissions, as well as policies that bleed into memory politics measures, such as </w:t>
      </w:r>
      <w:proofErr w:type="spellStart"/>
      <w:r w:rsidRPr="00961E55">
        <w:rPr>
          <w:rFonts w:ascii="Times New Roman" w:hAnsi="Times New Roman" w:cs="Times New Roman"/>
          <w:color w:val="212121"/>
          <w:sz w:val="24"/>
          <w:szCs w:val="24"/>
          <w:shd w:val="clear" w:color="auto" w:fill="FFFFFF"/>
        </w:rPr>
        <w:t>memorialization</w:t>
      </w:r>
      <w:proofErr w:type="spellEnd"/>
      <w:r w:rsidRPr="00961E55">
        <w:rPr>
          <w:rFonts w:ascii="Times New Roman" w:hAnsi="Times New Roman" w:cs="Times New Roman"/>
          <w:color w:val="212121"/>
          <w:sz w:val="24"/>
          <w:szCs w:val="24"/>
          <w:shd w:val="clear" w:color="auto" w:fill="FFFFFF"/>
        </w:rPr>
        <w:t xml:space="preserve"> efforts, commemoration initiatives, new national holidays, and history textbook revisions. The volume also engages a range of intentions and outcomes associated with these measures, from traditional state-building initiatives, including the rewriting of national narratives, the fortification of a (re)</w:t>
      </w:r>
      <w:proofErr w:type="spellStart"/>
      <w:r w:rsidRPr="00961E55">
        <w:rPr>
          <w:rFonts w:ascii="Times New Roman" w:hAnsi="Times New Roman" w:cs="Times New Roman"/>
          <w:color w:val="212121"/>
          <w:sz w:val="24"/>
          <w:szCs w:val="24"/>
          <w:shd w:val="clear" w:color="auto" w:fill="FFFFFF"/>
        </w:rPr>
        <w:t>newed</w:t>
      </w:r>
      <w:proofErr w:type="spellEnd"/>
      <w:r w:rsidRPr="00961E55">
        <w:rPr>
          <w:rFonts w:ascii="Times New Roman" w:hAnsi="Times New Roman" w:cs="Times New Roman"/>
          <w:color w:val="212121"/>
          <w:sz w:val="24"/>
          <w:szCs w:val="24"/>
          <w:shd w:val="clear" w:color="auto" w:fill="FFFFFF"/>
        </w:rPr>
        <w:t xml:space="preserve"> national identity, attempts to promote good governance and</w:t>
      </w:r>
      <w:r w:rsidR="00B52500">
        <w:rPr>
          <w:rFonts w:ascii="Times New Roman" w:hAnsi="Times New Roman" w:cs="Times New Roman"/>
          <w:color w:val="212121"/>
          <w:sz w:val="24"/>
          <w:szCs w:val="24"/>
          <w:shd w:val="clear" w:color="auto" w:fill="FFFFFF"/>
        </w:rPr>
        <w:t xml:space="preserve"> trust in public institutions, </w:t>
      </w:r>
      <w:r w:rsidRPr="00961E55">
        <w:rPr>
          <w:rFonts w:ascii="Times New Roman" w:hAnsi="Times New Roman" w:cs="Times New Roman"/>
          <w:color w:val="212121"/>
          <w:sz w:val="24"/>
          <w:szCs w:val="24"/>
          <w:shd w:val="clear" w:color="auto" w:fill="FFFFFF"/>
        </w:rPr>
        <w:t>and anti-corruption goals, as well as societal reconciliation measures such as accountability for victims, acknowledgment of past wrongs, and various forms of redress and reparation. In this way</w:t>
      </w:r>
      <w:r w:rsidR="00122659">
        <w:rPr>
          <w:rFonts w:ascii="Times New Roman" w:hAnsi="Times New Roman" w:cs="Times New Roman"/>
          <w:color w:val="212121"/>
          <w:sz w:val="24"/>
          <w:szCs w:val="24"/>
          <w:shd w:val="clear" w:color="auto" w:fill="FFFFFF"/>
        </w:rPr>
        <w:t>,</w:t>
      </w:r>
      <w:r w:rsidRPr="00961E55">
        <w:rPr>
          <w:rFonts w:ascii="Times New Roman" w:hAnsi="Times New Roman" w:cs="Times New Roman"/>
          <w:color w:val="212121"/>
          <w:sz w:val="24"/>
          <w:szCs w:val="24"/>
          <w:shd w:val="clear" w:color="auto" w:fill="FFFFFF"/>
        </w:rPr>
        <w:t xml:space="preserve"> we cast a broad net over measures and outcomes in order to present the most comprehensive account to date of FSU efforts to address, distort, ignore, or recast the past through the use</w:t>
      </w:r>
      <w:r w:rsidR="00122659">
        <w:rPr>
          <w:rFonts w:ascii="Times New Roman" w:hAnsi="Times New Roman" w:cs="Times New Roman"/>
          <w:color w:val="212121"/>
          <w:sz w:val="24"/>
          <w:szCs w:val="24"/>
          <w:shd w:val="clear" w:color="auto" w:fill="FFFFFF"/>
        </w:rPr>
        <w:t>,</w:t>
      </w:r>
      <w:r w:rsidR="001911CB">
        <w:rPr>
          <w:rFonts w:ascii="Times New Roman" w:hAnsi="Times New Roman" w:cs="Times New Roman"/>
          <w:color w:val="212121"/>
          <w:sz w:val="24"/>
          <w:szCs w:val="24"/>
          <w:shd w:val="clear" w:color="auto" w:fill="FFFFFF"/>
        </w:rPr>
        <w:t xml:space="preserve"> manipulation,</w:t>
      </w:r>
      <w:r w:rsidRPr="00961E55">
        <w:rPr>
          <w:rFonts w:ascii="Times New Roman" w:hAnsi="Times New Roman" w:cs="Times New Roman"/>
          <w:color w:val="212121"/>
          <w:sz w:val="24"/>
          <w:szCs w:val="24"/>
          <w:shd w:val="clear" w:color="auto" w:fill="FFFFFF"/>
        </w:rPr>
        <w:t xml:space="preserve"> and obstruction of transitional justice measures and memory politics initiatives.</w:t>
      </w:r>
    </w:p>
    <w:p w:rsidR="003B72CA" w:rsidRPr="003007E6" w:rsidRDefault="003B72CA" w:rsidP="003B72CA">
      <w:pPr>
        <w:spacing w:after="0" w:line="480" w:lineRule="auto"/>
        <w:ind w:firstLine="720"/>
        <w:rPr>
          <w:rFonts w:ascii="Times New Roman" w:hAnsi="Times New Roman" w:cs="Times New Roman"/>
          <w:color w:val="212121"/>
          <w:sz w:val="24"/>
          <w:szCs w:val="24"/>
        </w:rPr>
      </w:pPr>
      <w:r w:rsidRPr="003007E6">
        <w:rPr>
          <w:rFonts w:ascii="Times New Roman" w:hAnsi="Times New Roman" w:cs="Times New Roman"/>
          <w:color w:val="212121"/>
          <w:sz w:val="24"/>
          <w:szCs w:val="24"/>
          <w:shd w:val="clear" w:color="auto" w:fill="FFFFFF"/>
        </w:rPr>
        <w:t xml:space="preserve">There are three main goals motivating this volume. First, </w:t>
      </w:r>
      <w:r>
        <w:rPr>
          <w:rFonts w:ascii="Times New Roman" w:hAnsi="Times New Roman" w:cs="Times New Roman"/>
          <w:color w:val="212121"/>
          <w:sz w:val="24"/>
          <w:szCs w:val="24"/>
          <w:shd w:val="clear" w:color="auto" w:fill="FFFFFF"/>
        </w:rPr>
        <w:t xml:space="preserve">this volume </w:t>
      </w:r>
      <w:r w:rsidRPr="003007E6">
        <w:rPr>
          <w:rFonts w:ascii="Times New Roman" w:hAnsi="Times New Roman" w:cs="Times New Roman"/>
          <w:color w:val="212121"/>
          <w:sz w:val="24"/>
          <w:szCs w:val="24"/>
          <w:shd w:val="clear" w:color="auto" w:fill="FFFFFF"/>
        </w:rPr>
        <w:t>renew</w:t>
      </w:r>
      <w:r>
        <w:rPr>
          <w:rFonts w:ascii="Times New Roman" w:hAnsi="Times New Roman" w:cs="Times New Roman"/>
          <w:color w:val="212121"/>
          <w:sz w:val="24"/>
          <w:szCs w:val="24"/>
          <w:shd w:val="clear" w:color="auto" w:fill="FFFFFF"/>
        </w:rPr>
        <w:t>s</w:t>
      </w:r>
      <w:r w:rsidRPr="003007E6">
        <w:rPr>
          <w:rFonts w:ascii="Times New Roman" w:hAnsi="Times New Roman" w:cs="Times New Roman"/>
          <w:color w:val="212121"/>
          <w:sz w:val="24"/>
          <w:szCs w:val="24"/>
          <w:shd w:val="clear" w:color="auto" w:fill="FFFFFF"/>
        </w:rPr>
        <w:t xml:space="preserve"> the focus on the factors that affect the adoption (or rejection) of efforts to reckon with past human rights abuses in the post-communist context. Second,</w:t>
      </w:r>
      <w:r>
        <w:rPr>
          <w:rFonts w:ascii="Times New Roman" w:hAnsi="Times New Roman" w:cs="Times New Roman"/>
          <w:color w:val="212121"/>
          <w:sz w:val="24"/>
          <w:szCs w:val="24"/>
          <w:shd w:val="clear" w:color="auto" w:fill="FFFFFF"/>
        </w:rPr>
        <w:t xml:space="preserve"> the volume</w:t>
      </w:r>
      <w:r w:rsidRPr="003007E6">
        <w:rPr>
          <w:rFonts w:ascii="Times New Roman" w:hAnsi="Times New Roman" w:cs="Times New Roman"/>
          <w:color w:val="212121"/>
          <w:sz w:val="24"/>
          <w:szCs w:val="24"/>
          <w:shd w:val="clear" w:color="auto" w:fill="FFFFFF"/>
        </w:rPr>
        <w:t xml:space="preserve"> examine</w:t>
      </w:r>
      <w:r>
        <w:rPr>
          <w:rFonts w:ascii="Times New Roman" w:hAnsi="Times New Roman" w:cs="Times New Roman"/>
          <w:color w:val="212121"/>
          <w:sz w:val="24"/>
          <w:szCs w:val="24"/>
          <w:shd w:val="clear" w:color="auto" w:fill="FFFFFF"/>
        </w:rPr>
        <w:t>s</w:t>
      </w:r>
      <w:r w:rsidRPr="003007E6">
        <w:rPr>
          <w:rFonts w:ascii="Times New Roman" w:hAnsi="Times New Roman" w:cs="Times New Roman"/>
          <w:color w:val="212121"/>
          <w:sz w:val="24"/>
          <w:szCs w:val="24"/>
          <w:shd w:val="clear" w:color="auto" w:fill="FFFFFF"/>
        </w:rPr>
        <w:t xml:space="preserve"> the limitations of enacting specific transitional justice methods, programs and practices in the FSU republics, the majority of which have not experienced complete and irreversible democratization. A</w:t>
      </w:r>
      <w:r>
        <w:rPr>
          <w:rFonts w:ascii="Times New Roman" w:hAnsi="Times New Roman" w:cs="Times New Roman"/>
          <w:color w:val="212121"/>
          <w:sz w:val="24"/>
          <w:szCs w:val="24"/>
          <w:shd w:val="clear" w:color="auto" w:fill="FFFFFF"/>
        </w:rPr>
        <w:t xml:space="preserve">nd third the volume </w:t>
      </w:r>
      <w:r w:rsidRPr="003007E6">
        <w:rPr>
          <w:rFonts w:ascii="Times New Roman" w:hAnsi="Times New Roman" w:cs="Times New Roman"/>
          <w:color w:val="212121"/>
          <w:sz w:val="24"/>
          <w:szCs w:val="24"/>
          <w:shd w:val="clear" w:color="auto" w:fill="FFFFFF"/>
        </w:rPr>
        <w:t>explicate</w:t>
      </w:r>
      <w:r>
        <w:rPr>
          <w:rFonts w:ascii="Times New Roman" w:hAnsi="Times New Roman" w:cs="Times New Roman"/>
          <w:color w:val="212121"/>
          <w:sz w:val="24"/>
          <w:szCs w:val="24"/>
          <w:shd w:val="clear" w:color="auto" w:fill="FFFFFF"/>
        </w:rPr>
        <w:t>s</w:t>
      </w:r>
      <w:r w:rsidRPr="003007E6">
        <w:rPr>
          <w:rFonts w:ascii="Times New Roman" w:hAnsi="Times New Roman" w:cs="Times New Roman"/>
          <w:color w:val="212121"/>
          <w:sz w:val="24"/>
          <w:szCs w:val="24"/>
          <w:shd w:val="clear" w:color="auto" w:fill="FFFFFF"/>
        </w:rPr>
        <w:t xml:space="preserve"> the challenge of addressing multiple, competing pasts and the reasons why transitional justice failure, stagnation and even reversal have been registered in numerous countries in the region.</w:t>
      </w:r>
    </w:p>
    <w:p w:rsidR="00B52500" w:rsidRDefault="003A7732" w:rsidP="007F7325">
      <w:pPr>
        <w:spacing w:after="0" w:line="480" w:lineRule="auto"/>
        <w:ind w:firstLine="720"/>
        <w:rPr>
          <w:rFonts w:ascii="Times New Roman" w:hAnsi="Times New Roman" w:cs="Times New Roman"/>
          <w:color w:val="212121"/>
          <w:sz w:val="24"/>
          <w:szCs w:val="24"/>
        </w:rPr>
      </w:pPr>
      <w:r w:rsidRPr="00961E55">
        <w:rPr>
          <w:rFonts w:ascii="Times New Roman" w:hAnsi="Times New Roman" w:cs="Times New Roman"/>
          <w:color w:val="212121"/>
          <w:sz w:val="24"/>
          <w:szCs w:val="24"/>
          <w:shd w:val="clear" w:color="auto" w:fill="FFFFFF"/>
        </w:rPr>
        <w:lastRenderedPageBreak/>
        <w:t xml:space="preserve">There are a number of ways this volume distinguishes itself in terms of both transitional </w:t>
      </w:r>
      <w:proofErr w:type="gramStart"/>
      <w:r w:rsidRPr="00961E55">
        <w:rPr>
          <w:rFonts w:ascii="Times New Roman" w:hAnsi="Times New Roman" w:cs="Times New Roman"/>
          <w:color w:val="212121"/>
          <w:sz w:val="24"/>
          <w:szCs w:val="24"/>
          <w:shd w:val="clear" w:color="auto" w:fill="FFFFFF"/>
        </w:rPr>
        <w:t>justice</w:t>
      </w:r>
      <w:proofErr w:type="gramEnd"/>
      <w:r w:rsidRPr="00961E55">
        <w:rPr>
          <w:rFonts w:ascii="Times New Roman" w:hAnsi="Times New Roman" w:cs="Times New Roman"/>
          <w:color w:val="212121"/>
          <w:sz w:val="24"/>
          <w:szCs w:val="24"/>
          <w:shd w:val="clear" w:color="auto" w:fill="FFFFFF"/>
        </w:rPr>
        <w:t xml:space="preserve"> studies and studies of the former Soviet Union. First, this volume is unusual in mixing analyses of cases and “non-cases.” Most scholarship on post-communist transitional justice has relied on analyses that included only countries that enacted some type of transitional justice, without addressing non-cases.</w:t>
      </w:r>
      <w:r w:rsidRPr="00961E55">
        <w:rPr>
          <w:rStyle w:val="EndnoteReference"/>
          <w:rFonts w:ascii="Times New Roman" w:hAnsi="Times New Roman" w:cs="Times New Roman"/>
          <w:sz w:val="24"/>
          <w:szCs w:val="24"/>
        </w:rPr>
        <w:endnoteReference w:id="2"/>
      </w:r>
      <w:r w:rsidRPr="00961E55">
        <w:rPr>
          <w:rFonts w:ascii="Times New Roman" w:hAnsi="Times New Roman" w:cs="Times New Roman"/>
          <w:color w:val="212121"/>
          <w:sz w:val="24"/>
          <w:szCs w:val="24"/>
          <w:shd w:val="clear" w:color="auto" w:fill="FFFFFF"/>
        </w:rPr>
        <w:t xml:space="preserve"> In other words, scholars have inferred impact by comparing across cases of transitional justice</w:t>
      </w:r>
      <w:r w:rsidR="000230AF">
        <w:rPr>
          <w:rFonts w:ascii="Times New Roman" w:hAnsi="Times New Roman" w:cs="Times New Roman"/>
          <w:color w:val="212121"/>
          <w:sz w:val="24"/>
          <w:szCs w:val="24"/>
          <w:shd w:val="clear" w:color="auto" w:fill="FFFFFF"/>
        </w:rPr>
        <w:t>,</w:t>
      </w:r>
      <w:r w:rsidRPr="00961E55">
        <w:rPr>
          <w:rFonts w:ascii="Times New Roman" w:hAnsi="Times New Roman" w:cs="Times New Roman"/>
          <w:color w:val="212121"/>
          <w:sz w:val="24"/>
          <w:szCs w:val="24"/>
          <w:shd w:val="clear" w:color="auto" w:fill="FFFFFF"/>
        </w:rPr>
        <w:t xml:space="preserve"> while ignoring countries that </w:t>
      </w:r>
      <w:r w:rsidR="00B52500">
        <w:rPr>
          <w:rFonts w:ascii="Times New Roman" w:hAnsi="Times New Roman" w:cs="Times New Roman"/>
          <w:color w:val="212121"/>
          <w:sz w:val="24"/>
          <w:szCs w:val="24"/>
          <w:shd w:val="clear" w:color="auto" w:fill="FFFFFF"/>
        </w:rPr>
        <w:t>eschewed transitional justice. </w:t>
      </w:r>
      <w:proofErr w:type="spellStart"/>
      <w:r w:rsidRPr="00961E55">
        <w:rPr>
          <w:rFonts w:ascii="Times New Roman" w:hAnsi="Times New Roman" w:cs="Times New Roman"/>
          <w:color w:val="212121"/>
          <w:sz w:val="24"/>
          <w:szCs w:val="24"/>
          <w:shd w:val="clear" w:color="auto" w:fill="FFFFFF"/>
        </w:rPr>
        <w:t>Thoms</w:t>
      </w:r>
      <w:proofErr w:type="spellEnd"/>
      <w:r w:rsidRPr="00961E55">
        <w:rPr>
          <w:rFonts w:ascii="Times New Roman" w:hAnsi="Times New Roman" w:cs="Times New Roman"/>
          <w:color w:val="212121"/>
          <w:sz w:val="24"/>
          <w:szCs w:val="24"/>
          <w:shd w:val="clear" w:color="auto" w:fill="FFFFFF"/>
        </w:rPr>
        <w:t>, Ron and Paris noted the tendency across the social sciences to focus on the exceptional cases of transitional justice and ignore the failures or worse, the absence of transitional justice.</w:t>
      </w:r>
      <w:r w:rsidRPr="00961E55">
        <w:rPr>
          <w:rStyle w:val="EndnoteReference"/>
          <w:rFonts w:ascii="Times New Roman" w:hAnsi="Times New Roman" w:cs="Times New Roman"/>
          <w:sz w:val="24"/>
          <w:szCs w:val="24"/>
        </w:rPr>
        <w:endnoteReference w:id="3"/>
      </w:r>
      <w:r w:rsidRPr="00961E55">
        <w:rPr>
          <w:rFonts w:ascii="Times New Roman" w:hAnsi="Times New Roman" w:cs="Times New Roman"/>
          <w:sz w:val="24"/>
          <w:szCs w:val="24"/>
        </w:rPr>
        <w:t xml:space="preserve"> </w:t>
      </w:r>
      <w:r w:rsidRPr="00961E55">
        <w:rPr>
          <w:rFonts w:ascii="Times New Roman" w:hAnsi="Times New Roman" w:cs="Times New Roman"/>
          <w:color w:val="212121"/>
          <w:sz w:val="24"/>
          <w:szCs w:val="24"/>
          <w:shd w:val="clear" w:color="auto" w:fill="FFFFFF"/>
        </w:rPr>
        <w:t>Even large-N studies of transitional justice, such as Olsen, Payne and Reiter’s work on the Transitional Justice Database project, compared across cases of transitional justice omitting similar country cases that failed to implement transitional justice.</w:t>
      </w:r>
      <w:r w:rsidRPr="00961E55">
        <w:rPr>
          <w:rStyle w:val="EndnoteReference"/>
          <w:rFonts w:ascii="Times New Roman" w:hAnsi="Times New Roman" w:cs="Times New Roman"/>
          <w:sz w:val="24"/>
          <w:szCs w:val="24"/>
        </w:rPr>
        <w:endnoteReference w:id="4"/>
      </w:r>
      <w:r w:rsidRPr="00961E55">
        <w:rPr>
          <w:rFonts w:ascii="Times New Roman" w:hAnsi="Times New Roman" w:cs="Times New Roman"/>
          <w:color w:val="212121"/>
          <w:sz w:val="24"/>
          <w:szCs w:val="24"/>
          <w:shd w:val="clear" w:color="auto" w:fill="FFFFFF"/>
        </w:rPr>
        <w:t xml:space="preserve"> Admittedly, the non-case is much more challenging to incorporate into such evaluations of transitional justice measures, </w:t>
      </w:r>
      <w:r w:rsidR="000230AF">
        <w:rPr>
          <w:rFonts w:ascii="Times New Roman" w:hAnsi="Times New Roman" w:cs="Times New Roman"/>
          <w:color w:val="212121"/>
          <w:sz w:val="24"/>
          <w:szCs w:val="24"/>
          <w:shd w:val="clear" w:color="auto" w:fill="FFFFFF"/>
        </w:rPr>
        <w:t>but</w:t>
      </w:r>
      <w:r w:rsidRPr="00961E55">
        <w:rPr>
          <w:rFonts w:ascii="Times New Roman" w:hAnsi="Times New Roman" w:cs="Times New Roman"/>
          <w:color w:val="212121"/>
          <w:sz w:val="24"/>
          <w:szCs w:val="24"/>
          <w:shd w:val="clear" w:color="auto" w:fill="FFFFFF"/>
        </w:rPr>
        <w:t xml:space="preserve"> it is hard to assess impact if one leaves out similarly situated cases that actively rejected transitional justice.</w:t>
      </w:r>
    </w:p>
    <w:p w:rsidR="00B52500" w:rsidRDefault="003A7732" w:rsidP="007F7325">
      <w:pPr>
        <w:spacing w:after="0" w:line="480" w:lineRule="auto"/>
        <w:ind w:firstLine="720"/>
        <w:rPr>
          <w:rFonts w:ascii="Times New Roman" w:hAnsi="Times New Roman" w:cs="Times New Roman"/>
          <w:color w:val="212121"/>
          <w:sz w:val="24"/>
          <w:szCs w:val="24"/>
        </w:rPr>
      </w:pPr>
      <w:r w:rsidRPr="00961E55">
        <w:rPr>
          <w:rFonts w:ascii="Times New Roman" w:hAnsi="Times New Roman" w:cs="Times New Roman"/>
          <w:color w:val="212121"/>
          <w:sz w:val="24"/>
          <w:szCs w:val="24"/>
          <w:shd w:val="clear" w:color="auto" w:fill="FFFFFF"/>
        </w:rPr>
        <w:t xml:space="preserve">A comparison of cases and non-cases is particularly challenging because one needs similar country cases at similar moments in world historical time and similar justice issues, partially explaining the dearth of such comparative studies. Fortunately, the FSU provides just such a group of similarly situated countries. We have an ability to compare countries with similar communist experiences, which all became sovereign at the same moment in time and had similar transitional justice needs. Moreover, the CEE cases are proximate enough in terms of communist legacies and the timing of independence to make them possible points of comparison to the FSU cases and non-cases as well. In other words, we are afforded a fortuitous sample of regionally, </w:t>
      </w:r>
      <w:r w:rsidRPr="00961E55">
        <w:rPr>
          <w:rFonts w:ascii="Times New Roman" w:hAnsi="Times New Roman" w:cs="Times New Roman"/>
          <w:color w:val="212121"/>
          <w:sz w:val="24"/>
          <w:szCs w:val="24"/>
          <w:shd w:val="clear" w:color="auto" w:fill="FFFFFF"/>
        </w:rPr>
        <w:lastRenderedPageBreak/>
        <w:t>temporally, and politically similar countries—some with transitional justice and some without—allowing us the possibility of authentically engaging with the non-case.</w:t>
      </w:r>
    </w:p>
    <w:p w:rsidR="00B52500" w:rsidRDefault="003A7732" w:rsidP="007F7325">
      <w:pPr>
        <w:spacing w:after="0" w:line="480" w:lineRule="auto"/>
        <w:ind w:firstLine="720"/>
        <w:rPr>
          <w:rFonts w:ascii="Times New Roman" w:hAnsi="Times New Roman" w:cs="Times New Roman"/>
          <w:color w:val="212121"/>
          <w:sz w:val="24"/>
          <w:szCs w:val="24"/>
        </w:rPr>
      </w:pPr>
      <w:r w:rsidRPr="00961E55">
        <w:rPr>
          <w:rFonts w:ascii="Times New Roman" w:hAnsi="Times New Roman" w:cs="Times New Roman"/>
          <w:color w:val="212121"/>
          <w:sz w:val="24"/>
          <w:szCs w:val="24"/>
          <w:shd w:val="clear" w:color="auto" w:fill="FFFFFF"/>
        </w:rPr>
        <w:t xml:space="preserve">To that end, this volume compares cases and non-cases within the FSU, and compares cases and non-cases across the post-communist space. For example, non-cases like Belarus and Russia are presented alongside cases of limited and/or failed transitional justice, such as Georgia and Moldova, </w:t>
      </w:r>
      <w:r w:rsidR="00F2294C">
        <w:rPr>
          <w:rFonts w:ascii="Times New Roman" w:hAnsi="Times New Roman" w:cs="Times New Roman"/>
          <w:color w:val="212121"/>
          <w:sz w:val="24"/>
          <w:szCs w:val="24"/>
          <w:shd w:val="clear" w:color="auto" w:fill="FFFFFF"/>
        </w:rPr>
        <w:t>and</w:t>
      </w:r>
      <w:r w:rsidR="001911CB">
        <w:rPr>
          <w:rFonts w:ascii="Times New Roman" w:hAnsi="Times New Roman" w:cs="Times New Roman"/>
          <w:color w:val="212121"/>
          <w:sz w:val="24"/>
          <w:szCs w:val="24"/>
          <w:shd w:val="clear" w:color="auto" w:fill="FFFFFF"/>
        </w:rPr>
        <w:t xml:space="preserve"> compared with </w:t>
      </w:r>
      <w:r w:rsidRPr="00961E55">
        <w:rPr>
          <w:rFonts w:ascii="Times New Roman" w:hAnsi="Times New Roman" w:cs="Times New Roman"/>
          <w:color w:val="212121"/>
          <w:sz w:val="24"/>
          <w:szCs w:val="24"/>
          <w:shd w:val="clear" w:color="auto" w:fill="FFFFFF"/>
        </w:rPr>
        <w:t xml:space="preserve">cases of multiple and overlapping transitional justice measures, such as Lithuania and Ukraine. In this way, the volume engages across a full range of transitional justice experiences, from the outright rejection of transitional justice, to the manipulation of transitional justice, to iterated attempts at measures. Individual chapters engage targeted comparisons of cases and non-cases as well. For example, Mark Kramer compares memory politics measures in Poland and Russia, Cynthia Horne compares lustration measures in Ukraine and CEE, and </w:t>
      </w:r>
      <w:proofErr w:type="spellStart"/>
      <w:r w:rsidRPr="00961E55">
        <w:rPr>
          <w:rFonts w:ascii="Times New Roman" w:hAnsi="Times New Roman" w:cs="Times New Roman"/>
          <w:color w:val="212121"/>
          <w:sz w:val="24"/>
          <w:szCs w:val="24"/>
          <w:shd w:val="clear" w:color="auto" w:fill="FFFFFF"/>
        </w:rPr>
        <w:t>Nenad</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Dimitrijević</w:t>
      </w:r>
      <w:proofErr w:type="spellEnd"/>
      <w:r w:rsidRPr="00961E55">
        <w:rPr>
          <w:rFonts w:ascii="Times New Roman" w:hAnsi="Times New Roman" w:cs="Times New Roman"/>
          <w:color w:val="212121"/>
          <w:sz w:val="24"/>
          <w:szCs w:val="24"/>
          <w:shd w:val="clear" w:color="auto" w:fill="FFFFFF"/>
        </w:rPr>
        <w:t xml:space="preserve"> compares the post-conflict and post-authoritarian transitional justice needs between Serbia and the FSU, to name a few of the direct comparisons. These chapters gain intellectual leverage over the potential ramifications of choosing or rejecting transitional justice through the intentional comparison of similarly situated cases and non-cases in the post-communist space, attending to the implications for our study of the FSU.</w:t>
      </w:r>
    </w:p>
    <w:p w:rsidR="00B52500" w:rsidRDefault="003A7732" w:rsidP="007F7325">
      <w:pPr>
        <w:spacing w:after="0" w:line="480" w:lineRule="auto"/>
        <w:ind w:firstLine="720"/>
        <w:rPr>
          <w:rFonts w:ascii="Times New Roman" w:hAnsi="Times New Roman" w:cs="Times New Roman"/>
          <w:color w:val="212121"/>
          <w:sz w:val="24"/>
          <w:szCs w:val="24"/>
        </w:rPr>
      </w:pPr>
      <w:r w:rsidRPr="00961E55">
        <w:rPr>
          <w:rFonts w:ascii="Times New Roman" w:hAnsi="Times New Roman" w:cs="Times New Roman"/>
          <w:color w:val="212121"/>
          <w:sz w:val="24"/>
          <w:szCs w:val="24"/>
          <w:shd w:val="clear" w:color="auto" w:fill="FFFFFF"/>
        </w:rPr>
        <w:t xml:space="preserve">Second, this volume is also unusual in intentionally exploring multiple, competing pasts, a topic largely underdeveloped in post-communist examinations of transitional justice. Many countries in the FSU have proximate human rights abuses layered on more distant abuses, be they legacies of internal conflict, legacies of war, or legacies associated with different phases of communism. The selection of certain memories to engage with and other memories to set aside reveals the power of both state and non-state actors to shape and potentially </w:t>
      </w:r>
      <w:proofErr w:type="spellStart"/>
      <w:r w:rsidRPr="00961E55">
        <w:rPr>
          <w:rFonts w:ascii="Times New Roman" w:hAnsi="Times New Roman" w:cs="Times New Roman"/>
          <w:color w:val="212121"/>
          <w:sz w:val="24"/>
          <w:szCs w:val="24"/>
          <w:shd w:val="clear" w:color="auto" w:fill="FFFFFF"/>
        </w:rPr>
        <w:t>instrumentalize</w:t>
      </w:r>
      <w:proofErr w:type="spellEnd"/>
      <w:r w:rsidRPr="00961E55">
        <w:rPr>
          <w:rFonts w:ascii="Times New Roman" w:hAnsi="Times New Roman" w:cs="Times New Roman"/>
          <w:color w:val="212121"/>
          <w:sz w:val="24"/>
          <w:szCs w:val="24"/>
          <w:shd w:val="clear" w:color="auto" w:fill="FFFFFF"/>
        </w:rPr>
        <w:t xml:space="preserve"> the </w:t>
      </w:r>
      <w:r w:rsidRPr="00961E55">
        <w:rPr>
          <w:rFonts w:ascii="Times New Roman" w:hAnsi="Times New Roman" w:cs="Times New Roman"/>
          <w:color w:val="212121"/>
          <w:sz w:val="24"/>
          <w:szCs w:val="24"/>
          <w:shd w:val="clear" w:color="auto" w:fill="FFFFFF"/>
        </w:rPr>
        <w:lastRenderedPageBreak/>
        <w:t xml:space="preserve">past. Not engaging with a particular legacy of rights' abuses can be an intentional decision by the state to shape public perceptions about the past and the present, garner electoral support, or prevent popular opposition. For example, Lithuania’s engagement with the past, as explored in </w:t>
      </w:r>
      <w:proofErr w:type="spellStart"/>
      <w:r w:rsidRPr="00961E55">
        <w:rPr>
          <w:rFonts w:ascii="Times New Roman" w:hAnsi="Times New Roman" w:cs="Times New Roman"/>
          <w:color w:val="212121"/>
          <w:sz w:val="24"/>
          <w:szCs w:val="24"/>
          <w:shd w:val="clear" w:color="auto" w:fill="FFFFFF"/>
        </w:rPr>
        <w:t>Dovile</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Budrytė</w:t>
      </w:r>
      <w:proofErr w:type="spellEnd"/>
      <w:r w:rsidRPr="00961E55">
        <w:rPr>
          <w:rFonts w:ascii="Times New Roman" w:hAnsi="Times New Roman" w:cs="Times New Roman"/>
          <w:color w:val="212121"/>
          <w:sz w:val="24"/>
          <w:szCs w:val="24"/>
          <w:shd w:val="clear" w:color="auto" w:fill="FFFFFF"/>
        </w:rPr>
        <w:t xml:space="preserve"> and </w:t>
      </w:r>
      <w:proofErr w:type="spellStart"/>
      <w:r w:rsidRPr="00961E55">
        <w:rPr>
          <w:rFonts w:ascii="Times New Roman" w:hAnsi="Times New Roman" w:cs="Times New Roman"/>
          <w:color w:val="212121"/>
          <w:sz w:val="24"/>
          <w:szCs w:val="24"/>
          <w:shd w:val="clear" w:color="auto" w:fill="FFFFFF"/>
        </w:rPr>
        <w:t>Violeta</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Davoliūtė’s</w:t>
      </w:r>
      <w:proofErr w:type="spellEnd"/>
      <w:r w:rsidRPr="00961E55">
        <w:rPr>
          <w:rFonts w:ascii="Times New Roman" w:hAnsi="Times New Roman" w:cs="Times New Roman"/>
          <w:color w:val="212121"/>
          <w:sz w:val="24"/>
          <w:szCs w:val="24"/>
          <w:shd w:val="clear" w:color="auto" w:fill="FFFFFF"/>
        </w:rPr>
        <w:t xml:space="preserve"> chapter, focuses on the layering of communist era crimes on the atrocities committed under the Nazi oppression, and explores the manner in which the state prioritizes some rights' abuses and mem</w:t>
      </w:r>
      <w:r w:rsidR="00B52500">
        <w:rPr>
          <w:rFonts w:ascii="Times New Roman" w:hAnsi="Times New Roman" w:cs="Times New Roman"/>
          <w:color w:val="212121"/>
          <w:sz w:val="24"/>
          <w:szCs w:val="24"/>
          <w:shd w:val="clear" w:color="auto" w:fill="FFFFFF"/>
        </w:rPr>
        <w:t xml:space="preserve">ories over others. </w:t>
      </w:r>
      <w:proofErr w:type="spellStart"/>
      <w:r w:rsidR="00B52500">
        <w:rPr>
          <w:rFonts w:ascii="Times New Roman" w:hAnsi="Times New Roman" w:cs="Times New Roman"/>
          <w:color w:val="212121"/>
          <w:sz w:val="24"/>
          <w:szCs w:val="24"/>
          <w:shd w:val="clear" w:color="auto" w:fill="FFFFFF"/>
        </w:rPr>
        <w:t>Budrytė</w:t>
      </w:r>
      <w:proofErr w:type="spellEnd"/>
      <w:r w:rsidR="00B52500">
        <w:rPr>
          <w:rFonts w:ascii="Times New Roman" w:hAnsi="Times New Roman" w:cs="Times New Roman"/>
          <w:color w:val="212121"/>
          <w:sz w:val="24"/>
          <w:szCs w:val="24"/>
          <w:shd w:val="clear" w:color="auto" w:fill="FFFFFF"/>
        </w:rPr>
        <w:t xml:space="preserve"> and </w:t>
      </w:r>
      <w:proofErr w:type="spellStart"/>
      <w:r w:rsidR="00E37E58">
        <w:rPr>
          <w:rFonts w:ascii="Times New Roman" w:hAnsi="Times New Roman" w:cs="Times New Roman"/>
          <w:color w:val="212121"/>
          <w:sz w:val="24"/>
          <w:szCs w:val="24"/>
          <w:shd w:val="clear" w:color="auto" w:fill="FFFFFF"/>
        </w:rPr>
        <w:t>Davoliūtė</w:t>
      </w:r>
      <w:proofErr w:type="spellEnd"/>
      <w:r w:rsidR="00E37E58">
        <w:rPr>
          <w:rFonts w:ascii="Times New Roman" w:hAnsi="Times New Roman" w:cs="Times New Roman"/>
          <w:color w:val="212121"/>
          <w:sz w:val="24"/>
          <w:szCs w:val="24"/>
          <w:shd w:val="clear" w:color="auto" w:fill="FFFFFF"/>
        </w:rPr>
        <w:t xml:space="preserve"> focus on </w:t>
      </w:r>
      <w:r w:rsidRPr="00961E55">
        <w:rPr>
          <w:rFonts w:ascii="Times New Roman" w:hAnsi="Times New Roman" w:cs="Times New Roman"/>
          <w:color w:val="212121"/>
          <w:sz w:val="24"/>
          <w:szCs w:val="24"/>
          <w:shd w:val="clear" w:color="auto" w:fill="FFFFFF"/>
        </w:rPr>
        <w:t xml:space="preserve">the recent turn in Lithuania to engage with Nazi era abuses committed by both foreign occupiers and Lithuanians against their own Jewish countrymen. In this way they engage issues of layered pasts and internal complicity dilemmas, with reverberations through society that the state must juggle as part of transitional justice and accountability programs. </w:t>
      </w:r>
      <w:proofErr w:type="spellStart"/>
      <w:r w:rsidRPr="00961E55">
        <w:rPr>
          <w:rFonts w:ascii="Times New Roman" w:hAnsi="Times New Roman" w:cs="Times New Roman"/>
          <w:color w:val="212121"/>
          <w:sz w:val="24"/>
          <w:szCs w:val="24"/>
          <w:shd w:val="clear" w:color="auto" w:fill="FFFFFF"/>
        </w:rPr>
        <w:t>Nenad</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Dimitrijević’s</w:t>
      </w:r>
      <w:proofErr w:type="spellEnd"/>
      <w:r w:rsidRPr="00961E55">
        <w:rPr>
          <w:rFonts w:ascii="Times New Roman" w:hAnsi="Times New Roman" w:cs="Times New Roman"/>
          <w:color w:val="212121"/>
          <w:sz w:val="24"/>
          <w:szCs w:val="24"/>
          <w:shd w:val="clear" w:color="auto" w:fill="FFFFFF"/>
        </w:rPr>
        <w:t xml:space="preserve"> chapter presents the Serbian case of layered pasts and selective accountability in order to highlight how the abuses committed during the Yugoslav wars were layered on communist era abuses and on unaddressed abuses committed during W</w:t>
      </w:r>
      <w:r w:rsidR="00472DB8">
        <w:rPr>
          <w:rFonts w:ascii="Times New Roman" w:hAnsi="Times New Roman" w:cs="Times New Roman"/>
          <w:color w:val="212121"/>
          <w:sz w:val="24"/>
          <w:szCs w:val="24"/>
          <w:shd w:val="clear" w:color="auto" w:fill="FFFFFF"/>
        </w:rPr>
        <w:t xml:space="preserve">orld </w:t>
      </w:r>
      <w:r w:rsidRPr="00961E55">
        <w:rPr>
          <w:rFonts w:ascii="Times New Roman" w:hAnsi="Times New Roman" w:cs="Times New Roman"/>
          <w:color w:val="212121"/>
          <w:sz w:val="24"/>
          <w:szCs w:val="24"/>
          <w:shd w:val="clear" w:color="auto" w:fill="FFFFFF"/>
        </w:rPr>
        <w:t>W</w:t>
      </w:r>
      <w:r w:rsidR="00472DB8">
        <w:rPr>
          <w:rFonts w:ascii="Times New Roman" w:hAnsi="Times New Roman" w:cs="Times New Roman"/>
          <w:color w:val="212121"/>
          <w:sz w:val="24"/>
          <w:szCs w:val="24"/>
          <w:shd w:val="clear" w:color="auto" w:fill="FFFFFF"/>
        </w:rPr>
        <w:t xml:space="preserve">ar </w:t>
      </w:r>
      <w:r w:rsidRPr="00961E55">
        <w:rPr>
          <w:rFonts w:ascii="Times New Roman" w:hAnsi="Times New Roman" w:cs="Times New Roman"/>
          <w:color w:val="212121"/>
          <w:sz w:val="24"/>
          <w:szCs w:val="24"/>
          <w:shd w:val="clear" w:color="auto" w:fill="FFFFFF"/>
        </w:rPr>
        <w:t>II. These multiple, unaddressed abuses add layers to the complexity of explanatory frameworks and highlight the serious limitations state and non-state transitional justice actors face when formulating, promoting and enacting reckoning programs. Layered rights abuses and state and societal level choices to engage some pasts over others constitute challenges facing most FSU states.</w:t>
      </w:r>
    </w:p>
    <w:p w:rsidR="00B52500" w:rsidRDefault="003A7732" w:rsidP="007F7325">
      <w:pPr>
        <w:spacing w:after="0" w:line="480" w:lineRule="auto"/>
        <w:ind w:firstLine="720"/>
        <w:rPr>
          <w:rFonts w:ascii="Times New Roman" w:hAnsi="Times New Roman" w:cs="Times New Roman"/>
          <w:color w:val="212121"/>
          <w:sz w:val="24"/>
          <w:szCs w:val="24"/>
        </w:rPr>
      </w:pPr>
      <w:r w:rsidRPr="00961E55">
        <w:rPr>
          <w:rFonts w:ascii="Times New Roman" w:hAnsi="Times New Roman" w:cs="Times New Roman"/>
          <w:color w:val="212121"/>
          <w:sz w:val="24"/>
          <w:szCs w:val="24"/>
          <w:shd w:val="clear" w:color="auto" w:fill="FFFFFF"/>
        </w:rPr>
        <w:t xml:space="preserve">Third, this volume analyzes an array of transitional justice and accountability measures, considering both typical methods and “softer” justice methods. Although there has been less transitional justice in the FSU than CEE, and certainly less than many policymakers and academics have recommended, there are many informal measures that have largely gone unattended. This volume examines both judicial and non-judicial methods, expanding the definition of transitional justice measures into their intersection with the accountability aspects of </w:t>
      </w:r>
      <w:r w:rsidRPr="00961E55">
        <w:rPr>
          <w:rFonts w:ascii="Times New Roman" w:hAnsi="Times New Roman" w:cs="Times New Roman"/>
          <w:color w:val="212121"/>
          <w:sz w:val="24"/>
          <w:szCs w:val="24"/>
          <w:shd w:val="clear" w:color="auto" w:fill="FFFFFF"/>
        </w:rPr>
        <w:lastRenderedPageBreak/>
        <w:t xml:space="preserve">memory politics. The first chapter by </w:t>
      </w:r>
      <w:proofErr w:type="spellStart"/>
      <w:r w:rsidRPr="00961E55">
        <w:rPr>
          <w:rFonts w:ascii="Times New Roman" w:hAnsi="Times New Roman" w:cs="Times New Roman"/>
          <w:color w:val="212121"/>
          <w:sz w:val="24"/>
          <w:szCs w:val="24"/>
          <w:shd w:val="clear" w:color="auto" w:fill="FFFFFF"/>
        </w:rPr>
        <w:t>Lavinia</w:t>
      </w:r>
      <w:proofErr w:type="spellEnd"/>
      <w:r w:rsidRPr="00961E55">
        <w:rPr>
          <w:rFonts w:ascii="Times New Roman" w:hAnsi="Times New Roman" w:cs="Times New Roman"/>
          <w:color w:val="212121"/>
          <w:sz w:val="24"/>
          <w:szCs w:val="24"/>
          <w:shd w:val="clear" w:color="auto" w:fill="FFFFFF"/>
        </w:rPr>
        <w:t xml:space="preserve"> Stan provides an overview of this range of regional accountability and reckoning, from traditional methods such as court trials with resulting verdicts that can be treated as forms of transitional justice, to truth-telling commissions, property restitution and lustration or screening laws, as well as softer methods, such as national days, history textbook rewriting, and public apologies. Stan’s chapter presents the most comprehensive overview to date of all attempts to reckon, however limited, with communist era crimes across the entire FSU region. Stan argues that the relative dearth of transitional justice in the region can be explained as a function of several factors:  the timing of the worst human rights violations relative to the ousting of the communist regime, the incomplete democratization experienced by many successor republics, the continued political clout of former KGB officers and informers, the balance of forces in post-communist times, the role of political leadership, and the indifference of international actors. Many of these factors will be explored in greater detail in this volume.</w:t>
      </w:r>
    </w:p>
    <w:p w:rsidR="001911CB" w:rsidRDefault="003A7732" w:rsidP="007F7325">
      <w:pPr>
        <w:spacing w:after="0" w:line="480" w:lineRule="auto"/>
        <w:ind w:firstLine="720"/>
        <w:rPr>
          <w:rFonts w:ascii="Times New Roman" w:hAnsi="Times New Roman" w:cs="Times New Roman"/>
          <w:color w:val="212121"/>
          <w:sz w:val="24"/>
          <w:szCs w:val="24"/>
          <w:shd w:val="clear" w:color="auto" w:fill="FFFFFF"/>
        </w:rPr>
      </w:pPr>
      <w:r w:rsidRPr="00961E55">
        <w:rPr>
          <w:rFonts w:ascii="Times New Roman" w:hAnsi="Times New Roman" w:cs="Times New Roman"/>
          <w:color w:val="212121"/>
          <w:sz w:val="24"/>
          <w:szCs w:val="24"/>
          <w:shd w:val="clear" w:color="auto" w:fill="FFFFFF"/>
        </w:rPr>
        <w:t xml:space="preserve">In presenting an overview of transitional justice across the region, Stan lays the foundation for the case studies to follow. For example, </w:t>
      </w:r>
      <w:proofErr w:type="spellStart"/>
      <w:r w:rsidRPr="00961E55">
        <w:rPr>
          <w:rFonts w:ascii="Times New Roman" w:hAnsi="Times New Roman" w:cs="Times New Roman"/>
          <w:color w:val="212121"/>
          <w:sz w:val="24"/>
          <w:szCs w:val="24"/>
          <w:shd w:val="clear" w:color="auto" w:fill="FFFFFF"/>
        </w:rPr>
        <w:t>Lina</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Klymenko’s</w:t>
      </w:r>
      <w:proofErr w:type="spellEnd"/>
      <w:r w:rsidRPr="00961E55">
        <w:rPr>
          <w:rFonts w:ascii="Times New Roman" w:hAnsi="Times New Roman" w:cs="Times New Roman"/>
          <w:color w:val="212121"/>
          <w:sz w:val="24"/>
          <w:szCs w:val="24"/>
          <w:shd w:val="clear" w:color="auto" w:fill="FFFFFF"/>
        </w:rPr>
        <w:t xml:space="preserve"> chapter engage</w:t>
      </w:r>
      <w:r w:rsidR="00472DB8">
        <w:rPr>
          <w:rFonts w:ascii="Times New Roman" w:hAnsi="Times New Roman" w:cs="Times New Roman"/>
          <w:color w:val="212121"/>
          <w:sz w:val="24"/>
          <w:szCs w:val="24"/>
          <w:shd w:val="clear" w:color="auto" w:fill="FFFFFF"/>
        </w:rPr>
        <w:t>s</w:t>
      </w:r>
      <w:r w:rsidRPr="00961E55">
        <w:rPr>
          <w:rFonts w:ascii="Times New Roman" w:hAnsi="Times New Roman" w:cs="Times New Roman"/>
          <w:color w:val="212121"/>
          <w:sz w:val="24"/>
          <w:szCs w:val="24"/>
          <w:shd w:val="clear" w:color="auto" w:fill="FFFFFF"/>
        </w:rPr>
        <w:t xml:space="preserve"> in such softer forms of transitional justice, examining history textbooks and how the rewriting of aspects of history serves as a form of accountability and a space for memory policies. </w:t>
      </w:r>
      <w:r w:rsidR="00877698">
        <w:rPr>
          <w:rFonts w:ascii="Times New Roman" w:hAnsi="Times New Roman" w:cs="Times New Roman"/>
          <w:color w:val="212121"/>
          <w:sz w:val="24"/>
          <w:szCs w:val="24"/>
          <w:shd w:val="clear" w:color="auto" w:fill="FFFFFF"/>
        </w:rPr>
        <w:t xml:space="preserve">Alexei </w:t>
      </w:r>
      <w:proofErr w:type="spellStart"/>
      <w:r w:rsidR="00877698">
        <w:rPr>
          <w:rFonts w:ascii="Times New Roman" w:hAnsi="Times New Roman" w:cs="Times New Roman"/>
          <w:color w:val="212121"/>
          <w:sz w:val="24"/>
          <w:szCs w:val="24"/>
          <w:shd w:val="clear" w:color="auto" w:fill="FFFFFF"/>
        </w:rPr>
        <w:t>Trochev</w:t>
      </w:r>
      <w:proofErr w:type="spellEnd"/>
      <w:r w:rsidR="00877698">
        <w:rPr>
          <w:rFonts w:ascii="Times New Roman" w:hAnsi="Times New Roman" w:cs="Times New Roman"/>
          <w:color w:val="212121"/>
          <w:sz w:val="24"/>
          <w:szCs w:val="24"/>
          <w:shd w:val="clear" w:color="auto" w:fill="FFFFFF"/>
        </w:rPr>
        <w:t xml:space="preserve"> reviews commemoration, rehabilitation, and </w:t>
      </w:r>
      <w:proofErr w:type="spellStart"/>
      <w:r w:rsidR="00877698">
        <w:rPr>
          <w:rFonts w:ascii="Times New Roman" w:hAnsi="Times New Roman" w:cs="Times New Roman"/>
          <w:color w:val="212121"/>
          <w:sz w:val="24"/>
          <w:szCs w:val="24"/>
          <w:shd w:val="clear" w:color="auto" w:fill="FFFFFF"/>
        </w:rPr>
        <w:t>memorialization</w:t>
      </w:r>
      <w:proofErr w:type="spellEnd"/>
      <w:r w:rsidR="00877698">
        <w:rPr>
          <w:rFonts w:ascii="Times New Roman" w:hAnsi="Times New Roman" w:cs="Times New Roman"/>
          <w:color w:val="212121"/>
          <w:sz w:val="24"/>
          <w:szCs w:val="24"/>
          <w:shd w:val="clear" w:color="auto" w:fill="FFFFFF"/>
        </w:rPr>
        <w:t xml:space="preserve"> in Kazakhstan, echoing similar measures also seen in Russia, Ukraine and Belarus. </w:t>
      </w:r>
      <w:proofErr w:type="spellStart"/>
      <w:r w:rsidRPr="00961E55">
        <w:rPr>
          <w:rFonts w:ascii="Times New Roman" w:hAnsi="Times New Roman" w:cs="Times New Roman"/>
          <w:color w:val="212121"/>
          <w:sz w:val="24"/>
          <w:szCs w:val="24"/>
          <w:shd w:val="clear" w:color="auto" w:fill="FFFFFF"/>
        </w:rPr>
        <w:t>Onur</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Bakiner’s</w:t>
      </w:r>
      <w:proofErr w:type="spellEnd"/>
      <w:r w:rsidRPr="00961E55">
        <w:rPr>
          <w:rFonts w:ascii="Times New Roman" w:hAnsi="Times New Roman" w:cs="Times New Roman"/>
          <w:color w:val="212121"/>
          <w:sz w:val="24"/>
          <w:szCs w:val="24"/>
          <w:shd w:val="clear" w:color="auto" w:fill="FFFFFF"/>
        </w:rPr>
        <w:t xml:space="preserve"> chapter engages the explosive popularity of truth commissions as a form of transitional justice around the world, examining the relative dearth of truth commissions, memory institutes, and fact finding initiatives in the FSU in the context of the global proliferation of this transitional justice measure. </w:t>
      </w:r>
      <w:proofErr w:type="spellStart"/>
      <w:r w:rsidRPr="00961E55">
        <w:rPr>
          <w:rFonts w:ascii="Times New Roman" w:hAnsi="Times New Roman" w:cs="Times New Roman"/>
          <w:color w:val="212121"/>
          <w:sz w:val="24"/>
          <w:szCs w:val="24"/>
          <w:shd w:val="clear" w:color="auto" w:fill="FFFFFF"/>
        </w:rPr>
        <w:t>Agata</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Fijalkowski’s</w:t>
      </w:r>
      <w:proofErr w:type="spellEnd"/>
      <w:r w:rsidRPr="00961E55">
        <w:rPr>
          <w:rFonts w:ascii="Times New Roman" w:hAnsi="Times New Roman" w:cs="Times New Roman"/>
          <w:color w:val="212121"/>
          <w:sz w:val="24"/>
          <w:szCs w:val="24"/>
          <w:shd w:val="clear" w:color="auto" w:fill="FFFFFF"/>
        </w:rPr>
        <w:t xml:space="preserve"> chapter examines trials and court verdicts as forms of transitional justice </w:t>
      </w:r>
      <w:r w:rsidRPr="00961E55">
        <w:rPr>
          <w:rFonts w:ascii="Times New Roman" w:hAnsi="Times New Roman" w:cs="Times New Roman"/>
          <w:color w:val="212121"/>
          <w:sz w:val="24"/>
          <w:szCs w:val="24"/>
          <w:shd w:val="clear" w:color="auto" w:fill="FFFFFF"/>
        </w:rPr>
        <w:lastRenderedPageBreak/>
        <w:t>and accountability, expanding our understanding of non-traditional forms of transitional justice. </w:t>
      </w:r>
      <w:proofErr w:type="spellStart"/>
      <w:r w:rsidRPr="00961E55">
        <w:rPr>
          <w:rFonts w:ascii="Times New Roman" w:hAnsi="Times New Roman" w:cs="Times New Roman"/>
          <w:color w:val="212121"/>
          <w:sz w:val="24"/>
          <w:szCs w:val="24"/>
          <w:shd w:val="clear" w:color="auto" w:fill="FFFFFF"/>
        </w:rPr>
        <w:t>Nanci</w:t>
      </w:r>
      <w:proofErr w:type="spellEnd"/>
      <w:r w:rsidRPr="00961E55">
        <w:rPr>
          <w:rFonts w:ascii="Times New Roman" w:hAnsi="Times New Roman" w:cs="Times New Roman"/>
          <w:color w:val="212121"/>
          <w:sz w:val="24"/>
          <w:szCs w:val="24"/>
          <w:shd w:val="clear" w:color="auto" w:fill="FFFFFF"/>
        </w:rPr>
        <w:t xml:space="preserve"> Adler’s chapter on Russia’s remembering and forgetting highlights national remembrance days, with attention to what they say about current state-building and national narratives in Russia. In </w:t>
      </w:r>
      <w:r w:rsidR="00472DB8">
        <w:rPr>
          <w:rFonts w:ascii="Times New Roman" w:hAnsi="Times New Roman" w:cs="Times New Roman"/>
          <w:color w:val="212121"/>
          <w:sz w:val="24"/>
          <w:szCs w:val="24"/>
          <w:shd w:val="clear" w:color="auto" w:fill="FFFFFF"/>
        </w:rPr>
        <w:t>sum</w:t>
      </w:r>
      <w:r w:rsidRPr="00961E55">
        <w:rPr>
          <w:rFonts w:ascii="Times New Roman" w:hAnsi="Times New Roman" w:cs="Times New Roman"/>
          <w:color w:val="212121"/>
          <w:sz w:val="24"/>
          <w:szCs w:val="24"/>
          <w:shd w:val="clear" w:color="auto" w:fill="FFFFFF"/>
        </w:rPr>
        <w:t>, the volume presents an array of transitional justice measures, with attention to the role of state and non-state actors in the process of catalyzing and responding to measures.</w:t>
      </w:r>
    </w:p>
    <w:p w:rsidR="001911CB" w:rsidRPr="009D6DED" w:rsidRDefault="003A7732" w:rsidP="007F7325">
      <w:pPr>
        <w:spacing w:after="0" w:line="480" w:lineRule="auto"/>
        <w:rPr>
          <w:rFonts w:ascii="Times New Roman" w:hAnsi="Times New Roman" w:cs="Times New Roman"/>
          <w:b/>
          <w:sz w:val="24"/>
          <w:szCs w:val="24"/>
        </w:rPr>
      </w:pPr>
      <w:r w:rsidRPr="00961E55">
        <w:rPr>
          <w:rFonts w:ascii="Times New Roman" w:hAnsi="Times New Roman" w:cs="Times New Roman"/>
          <w:color w:val="212121"/>
          <w:sz w:val="24"/>
          <w:szCs w:val="24"/>
        </w:rPr>
        <w:br/>
      </w:r>
      <w:r w:rsidR="001911CB" w:rsidRPr="001C39CA">
        <w:rPr>
          <w:rFonts w:ascii="Times New Roman" w:hAnsi="Times New Roman" w:cs="Times New Roman"/>
          <w:b/>
          <w:sz w:val="24"/>
          <w:szCs w:val="24"/>
        </w:rPr>
        <w:t>Book structure</w:t>
      </w:r>
    </w:p>
    <w:p w:rsidR="001911CB" w:rsidRDefault="001911CB" w:rsidP="007F73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volume is organized into three main sections rather than presenting a country by country approach. </w:t>
      </w:r>
      <w:r w:rsidRPr="006C521A">
        <w:rPr>
          <w:rFonts w:ascii="Times New Roman" w:hAnsi="Times New Roman" w:cs="Times New Roman"/>
          <w:i/>
          <w:sz w:val="24"/>
          <w:szCs w:val="24"/>
        </w:rPr>
        <w:t xml:space="preserve">Part I, </w:t>
      </w:r>
      <w:proofErr w:type="gramStart"/>
      <w:r w:rsidRPr="006C521A">
        <w:rPr>
          <w:rFonts w:ascii="Times New Roman" w:hAnsi="Times New Roman" w:cs="Times New Roman"/>
          <w:i/>
          <w:sz w:val="24"/>
          <w:szCs w:val="24"/>
        </w:rPr>
        <w:t>The</w:t>
      </w:r>
      <w:proofErr w:type="gramEnd"/>
      <w:r w:rsidRPr="006C521A">
        <w:rPr>
          <w:rFonts w:ascii="Times New Roman" w:hAnsi="Times New Roman" w:cs="Times New Roman"/>
          <w:i/>
          <w:sz w:val="24"/>
          <w:szCs w:val="24"/>
        </w:rPr>
        <w:t xml:space="preserve"> Long Shadow of the Past </w:t>
      </w:r>
      <w:r>
        <w:rPr>
          <w:rFonts w:ascii="Times New Roman" w:hAnsi="Times New Roman" w:cs="Times New Roman"/>
          <w:sz w:val="24"/>
          <w:szCs w:val="24"/>
        </w:rPr>
        <w:t xml:space="preserve">focuses on some of the challenges associated with overcoming communist legacies, and explicates the reasons behind the limited transitional justice enacted in the FSU during the first twenty-five years of post-communism. Chapters in this section examine how the framing of past communist abuses affects possible courses of action in post-communist times. Stan, </w:t>
      </w:r>
      <w:proofErr w:type="spellStart"/>
      <w:r>
        <w:rPr>
          <w:rFonts w:ascii="Times New Roman" w:hAnsi="Times New Roman" w:cs="Times New Roman"/>
          <w:sz w:val="24"/>
          <w:szCs w:val="24"/>
        </w:rPr>
        <w:t>Bekus</w:t>
      </w:r>
      <w:proofErr w:type="spellEnd"/>
      <w:r>
        <w:rPr>
          <w:rFonts w:ascii="Times New Roman" w:hAnsi="Times New Roman" w:cs="Times New Roman"/>
          <w:sz w:val="24"/>
          <w:szCs w:val="24"/>
        </w:rPr>
        <w:t xml:space="preserve">, Kramer, </w:t>
      </w:r>
      <w:proofErr w:type="spellStart"/>
      <w:r w:rsidR="00877698">
        <w:rPr>
          <w:rFonts w:ascii="Times New Roman" w:hAnsi="Times New Roman" w:cs="Times New Roman"/>
          <w:sz w:val="24"/>
          <w:szCs w:val="24"/>
        </w:rPr>
        <w:t>Trochev</w:t>
      </w:r>
      <w:proofErr w:type="spellEnd"/>
      <w:r w:rsidR="00877698">
        <w:rPr>
          <w:rFonts w:ascii="Times New Roman" w:hAnsi="Times New Roman" w:cs="Times New Roman"/>
          <w:sz w:val="24"/>
          <w:szCs w:val="24"/>
        </w:rPr>
        <w:t xml:space="preserve"> </w:t>
      </w:r>
      <w:r>
        <w:rPr>
          <w:rFonts w:ascii="Times New Roman" w:hAnsi="Times New Roman" w:cs="Times New Roman"/>
          <w:sz w:val="24"/>
          <w:szCs w:val="24"/>
        </w:rPr>
        <w:t>and Adler’s chapters explore impediments to reform, delayed transitional justice measures, and the various ways in which the past is being repurposed to advance political and social objectives in the present.</w:t>
      </w:r>
    </w:p>
    <w:p w:rsidR="001911CB" w:rsidRDefault="001911CB" w:rsidP="007F7325">
      <w:pPr>
        <w:spacing w:after="0" w:line="480" w:lineRule="auto"/>
        <w:ind w:firstLine="720"/>
        <w:rPr>
          <w:rFonts w:ascii="Times New Roman" w:hAnsi="Times New Roman" w:cs="Times New Roman"/>
          <w:sz w:val="24"/>
          <w:szCs w:val="24"/>
        </w:rPr>
      </w:pPr>
      <w:r w:rsidRPr="006C521A">
        <w:rPr>
          <w:rFonts w:ascii="Times New Roman" w:hAnsi="Times New Roman" w:cs="Times New Roman"/>
          <w:i/>
          <w:sz w:val="24"/>
          <w:szCs w:val="24"/>
        </w:rPr>
        <w:t>Part II, Transitional Justice Programs, Practices, and Legislation</w:t>
      </w:r>
      <w:r>
        <w:rPr>
          <w:rFonts w:ascii="Times New Roman" w:hAnsi="Times New Roman" w:cs="Times New Roman"/>
          <w:sz w:val="24"/>
          <w:szCs w:val="24"/>
        </w:rPr>
        <w:t xml:space="preserve"> focuses on the most important methods of transitional justice and accountability attempted in the FSU, including lustration measures, truth commissions, trials and court cases, memory laws, history reeducation, and the (re)construction of historical narratives. Horne, David, </w:t>
      </w:r>
      <w:proofErr w:type="spellStart"/>
      <w:r>
        <w:rPr>
          <w:rFonts w:ascii="Times New Roman" w:hAnsi="Times New Roman" w:cs="Times New Roman"/>
          <w:sz w:val="24"/>
          <w:szCs w:val="24"/>
        </w:rPr>
        <w:t>Bakiner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Fijalkowski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Klymenko</w:t>
      </w:r>
      <w:proofErr w:type="spellEnd"/>
      <w:r>
        <w:rPr>
          <w:rFonts w:ascii="Times New Roman" w:hAnsi="Times New Roman" w:cs="Times New Roman"/>
          <w:sz w:val="24"/>
          <w:szCs w:val="24"/>
        </w:rPr>
        <w:t xml:space="preserve"> draw on the transitional justice literature to inform a discussion of how these measures have worked or failed to work in the FSU. Chapters in this section also examine how the selection of certain types of measures over other types of measures has reflected the states’ </w:t>
      </w:r>
      <w:r>
        <w:rPr>
          <w:rFonts w:ascii="Times New Roman" w:hAnsi="Times New Roman" w:cs="Times New Roman"/>
          <w:sz w:val="24"/>
          <w:szCs w:val="24"/>
        </w:rPr>
        <w:lastRenderedPageBreak/>
        <w:t>efforts to manage the accountability processes in ways that have not always privileged reckoning over political calculations.</w:t>
      </w:r>
    </w:p>
    <w:p w:rsidR="001911CB" w:rsidRDefault="001911CB" w:rsidP="007F7325">
      <w:pPr>
        <w:spacing w:after="0" w:line="480" w:lineRule="auto"/>
        <w:ind w:firstLine="720"/>
        <w:rPr>
          <w:rFonts w:ascii="Times New Roman" w:hAnsi="Times New Roman" w:cs="Times New Roman"/>
          <w:sz w:val="24"/>
          <w:szCs w:val="24"/>
        </w:rPr>
      </w:pPr>
      <w:r w:rsidRPr="006C521A">
        <w:rPr>
          <w:rFonts w:ascii="Times New Roman" w:hAnsi="Times New Roman" w:cs="Times New Roman"/>
          <w:i/>
          <w:sz w:val="24"/>
          <w:szCs w:val="24"/>
        </w:rPr>
        <w:t>Part III, Layered Pasts and the Politics of Denial</w:t>
      </w:r>
      <w:r>
        <w:rPr>
          <w:rFonts w:ascii="Times New Roman" w:hAnsi="Times New Roman" w:cs="Times New Roman"/>
          <w:b/>
          <w:sz w:val="24"/>
          <w:szCs w:val="24"/>
        </w:rPr>
        <w:t xml:space="preserve"> </w:t>
      </w:r>
      <w:r w:rsidRPr="002C6F65">
        <w:rPr>
          <w:rFonts w:ascii="Times New Roman" w:hAnsi="Times New Roman" w:cs="Times New Roman"/>
          <w:sz w:val="24"/>
          <w:szCs w:val="24"/>
        </w:rPr>
        <w:t xml:space="preserve">draws heavily on scholarship on communist legacies and post-communist politics in order to examine the </w:t>
      </w:r>
      <w:r>
        <w:rPr>
          <w:rFonts w:ascii="Times New Roman" w:hAnsi="Times New Roman" w:cs="Times New Roman"/>
          <w:sz w:val="24"/>
          <w:szCs w:val="24"/>
        </w:rPr>
        <w:t>rejection</w:t>
      </w:r>
      <w:r w:rsidRPr="002C6F65">
        <w:rPr>
          <w:rFonts w:ascii="Times New Roman" w:hAnsi="Times New Roman" w:cs="Times New Roman"/>
          <w:sz w:val="24"/>
          <w:szCs w:val="24"/>
        </w:rPr>
        <w:t xml:space="preserve"> of measures to deal with the past. T</w:t>
      </w:r>
      <w:r>
        <w:rPr>
          <w:rFonts w:ascii="Times New Roman" w:hAnsi="Times New Roman" w:cs="Times New Roman"/>
          <w:sz w:val="24"/>
          <w:szCs w:val="24"/>
        </w:rPr>
        <w:t>his last set of chapters examines the various state and non-state actors that have engaged in instrumental manipulation or obfuscation of accountability measures in order to control the way the past is presented or to thwart accountability for both proximate and distant rights abuses</w:t>
      </w:r>
      <w:r w:rsidRPr="00676367">
        <w:rPr>
          <w:rFonts w:ascii="Times New Roman" w:hAnsi="Times New Roman" w:cs="Times New Roman"/>
          <w:sz w:val="24"/>
          <w:szCs w:val="24"/>
        </w:rPr>
        <w:t>. In this way</w:t>
      </w:r>
      <w:r>
        <w:rPr>
          <w:rFonts w:ascii="Times New Roman" w:hAnsi="Times New Roman" w:cs="Times New Roman"/>
          <w:sz w:val="24"/>
          <w:szCs w:val="24"/>
        </w:rPr>
        <w:t>,</w:t>
      </w:r>
      <w:r w:rsidRPr="00676367">
        <w:rPr>
          <w:rFonts w:ascii="Times New Roman" w:hAnsi="Times New Roman" w:cs="Times New Roman"/>
          <w:sz w:val="24"/>
          <w:szCs w:val="24"/>
        </w:rPr>
        <w:t xml:space="preserve"> the </w:t>
      </w:r>
      <w:proofErr w:type="gramStart"/>
      <w:r w:rsidRPr="00676367">
        <w:rPr>
          <w:rFonts w:ascii="Times New Roman" w:hAnsi="Times New Roman" w:cs="Times New Roman"/>
          <w:sz w:val="24"/>
          <w:szCs w:val="24"/>
        </w:rPr>
        <w:t xml:space="preserve">denial of the past or </w:t>
      </w:r>
      <w:r>
        <w:rPr>
          <w:rFonts w:ascii="Times New Roman" w:hAnsi="Times New Roman" w:cs="Times New Roman"/>
          <w:sz w:val="24"/>
          <w:szCs w:val="24"/>
        </w:rPr>
        <w:t xml:space="preserve">the </w:t>
      </w:r>
      <w:r w:rsidRPr="00676367">
        <w:rPr>
          <w:rFonts w:ascii="Times New Roman" w:hAnsi="Times New Roman" w:cs="Times New Roman"/>
          <w:sz w:val="24"/>
          <w:szCs w:val="24"/>
        </w:rPr>
        <w:t xml:space="preserve">selective </w:t>
      </w:r>
      <w:r>
        <w:rPr>
          <w:rFonts w:ascii="Times New Roman" w:hAnsi="Times New Roman" w:cs="Times New Roman"/>
          <w:sz w:val="24"/>
          <w:szCs w:val="24"/>
        </w:rPr>
        <w:t>engagement with the past affect</w:t>
      </w:r>
      <w:proofErr w:type="gramEnd"/>
      <w:r>
        <w:rPr>
          <w:rFonts w:ascii="Times New Roman" w:hAnsi="Times New Roman" w:cs="Times New Roman"/>
          <w:sz w:val="24"/>
          <w:szCs w:val="24"/>
        </w:rPr>
        <w:t xml:space="preserve"> or delimit</w:t>
      </w:r>
      <w:r w:rsidRPr="00676367">
        <w:rPr>
          <w:rFonts w:ascii="Times New Roman" w:hAnsi="Times New Roman" w:cs="Times New Roman"/>
          <w:sz w:val="24"/>
          <w:szCs w:val="24"/>
        </w:rPr>
        <w:t xml:space="preserve"> possibilitie</w:t>
      </w:r>
      <w:r w:rsidRPr="00E01EED">
        <w:rPr>
          <w:rFonts w:ascii="Times New Roman" w:hAnsi="Times New Roman" w:cs="Times New Roman"/>
          <w:sz w:val="24"/>
          <w:szCs w:val="24"/>
        </w:rPr>
        <w:t xml:space="preserve">s for the future. </w:t>
      </w:r>
      <w:r>
        <w:rPr>
          <w:rFonts w:ascii="Times New Roman" w:hAnsi="Times New Roman" w:cs="Times New Roman"/>
          <w:sz w:val="24"/>
          <w:szCs w:val="24"/>
        </w:rPr>
        <w:t xml:space="preserve">Stan, Austin, </w:t>
      </w:r>
      <w:proofErr w:type="spellStart"/>
      <w:r w:rsidR="00D57C8B" w:rsidRPr="00D57C8B">
        <w:rPr>
          <w:rFonts w:ascii="Times New Roman" w:hAnsi="Times New Roman" w:cs="Times New Roman"/>
          <w:sz w:val="24"/>
          <w:szCs w:val="24"/>
        </w:rPr>
        <w:t>Suciu</w:t>
      </w:r>
      <w:proofErr w:type="spellEnd"/>
      <w:r w:rsidR="00D57C8B" w:rsidRPr="00D57C8B">
        <w:rPr>
          <w:rFonts w:ascii="Times New Roman" w:hAnsi="Times New Roman" w:cs="Times New Roman"/>
          <w:sz w:val="24"/>
          <w:szCs w:val="24"/>
        </w:rPr>
        <w:t>,</w:t>
      </w:r>
      <w:r w:rsidR="00D57C8B" w:rsidRPr="00D57C8B">
        <w:rPr>
          <w:rFonts w:ascii="Times New Roman" w:hAnsi="Times New Roman" w:cs="Times New Roman"/>
          <w:sz w:val="24"/>
          <w:szCs w:val="24"/>
          <w:shd w:val="clear" w:color="auto" w:fill="FFFFFF"/>
        </w:rPr>
        <w:t xml:space="preserve"> </w:t>
      </w:r>
      <w:proofErr w:type="spellStart"/>
      <w:r w:rsidRPr="00D57C8B">
        <w:rPr>
          <w:rFonts w:ascii="Times New Roman" w:hAnsi="Times New Roman" w:cs="Times New Roman"/>
          <w:sz w:val="24"/>
          <w:szCs w:val="24"/>
          <w:shd w:val="clear" w:color="auto" w:fill="FFFFFF"/>
        </w:rPr>
        <w:t>Davoliūtė</w:t>
      </w:r>
      <w:proofErr w:type="spellEnd"/>
      <w:r w:rsidRPr="00D57C8B">
        <w:rPr>
          <w:rFonts w:ascii="Times New Roman" w:hAnsi="Times New Roman" w:cs="Times New Roman"/>
          <w:sz w:val="24"/>
          <w:szCs w:val="24"/>
          <w:shd w:val="clear" w:color="auto" w:fill="FFFFFF"/>
        </w:rPr>
        <w:t xml:space="preserve"> and </w:t>
      </w:r>
      <w:proofErr w:type="spellStart"/>
      <w:r w:rsidRPr="00D57C8B">
        <w:rPr>
          <w:rFonts w:ascii="Times New Roman" w:hAnsi="Times New Roman" w:cs="Times New Roman"/>
          <w:sz w:val="24"/>
          <w:szCs w:val="24"/>
          <w:shd w:val="clear" w:color="auto" w:fill="FFFFFF"/>
        </w:rPr>
        <w:t>Budrytė</w:t>
      </w:r>
      <w:proofErr w:type="spellEnd"/>
      <w:r w:rsidRPr="00D57C8B">
        <w:rPr>
          <w:rFonts w:ascii="Times New Roman" w:hAnsi="Times New Roman" w:cs="Times New Roman"/>
          <w:sz w:val="24"/>
          <w:szCs w:val="24"/>
          <w:shd w:val="clear" w:color="auto" w:fill="FFFFFF"/>
        </w:rPr>
        <w:t xml:space="preserve">, </w:t>
      </w:r>
      <w:r w:rsidRPr="00D57C8B">
        <w:rPr>
          <w:rFonts w:ascii="Times New Roman" w:hAnsi="Times New Roman" w:cs="Times New Roman"/>
          <w:sz w:val="24"/>
          <w:szCs w:val="24"/>
        </w:rPr>
        <w:t xml:space="preserve">and </w:t>
      </w:r>
      <w:proofErr w:type="spellStart"/>
      <w:r w:rsidRPr="00D57C8B">
        <w:rPr>
          <w:rFonts w:ascii="Times New Roman" w:hAnsi="Times New Roman" w:cs="Times New Roman"/>
          <w:sz w:val="24"/>
          <w:szCs w:val="24"/>
          <w:shd w:val="clear" w:color="auto" w:fill="FFFFFF"/>
        </w:rPr>
        <w:t>Dimitrijević’s</w:t>
      </w:r>
      <w:proofErr w:type="spellEnd"/>
      <w:r w:rsidRPr="00D57C8B">
        <w:rPr>
          <w:rFonts w:ascii="Times New Roman" w:hAnsi="Times New Roman" w:cs="Times New Roman"/>
          <w:sz w:val="24"/>
          <w:szCs w:val="24"/>
          <w:shd w:val="clear" w:color="auto" w:fill="FFFFFF"/>
        </w:rPr>
        <w:t xml:space="preserve"> all engage with post-conflict and pos</w:t>
      </w:r>
      <w:r>
        <w:rPr>
          <w:rFonts w:ascii="Times New Roman" w:hAnsi="Times New Roman" w:cs="Times New Roman"/>
          <w:color w:val="212121"/>
          <w:sz w:val="24"/>
          <w:szCs w:val="24"/>
          <w:shd w:val="clear" w:color="auto" w:fill="FFFFFF"/>
        </w:rPr>
        <w:t>t-authoritarian atrocities layered on each other, both entwining the legacies of state and societal violence and complicating the options for transitional justice.</w:t>
      </w:r>
    </w:p>
    <w:p w:rsidR="00B52500" w:rsidRPr="001911CB" w:rsidRDefault="003A7732" w:rsidP="007F7325">
      <w:pPr>
        <w:spacing w:after="0" w:line="480" w:lineRule="auto"/>
        <w:ind w:firstLine="720"/>
        <w:rPr>
          <w:rFonts w:ascii="Times New Roman" w:hAnsi="Times New Roman" w:cs="Times New Roman"/>
          <w:sz w:val="24"/>
          <w:szCs w:val="24"/>
        </w:rPr>
      </w:pPr>
      <w:r w:rsidRPr="00961E55">
        <w:rPr>
          <w:rFonts w:ascii="Times New Roman" w:hAnsi="Times New Roman" w:cs="Times New Roman"/>
          <w:color w:val="212121"/>
          <w:sz w:val="24"/>
          <w:szCs w:val="24"/>
        </w:rPr>
        <w:br/>
      </w:r>
      <w:r w:rsidRPr="00B52500">
        <w:rPr>
          <w:rFonts w:ascii="Times New Roman" w:hAnsi="Times New Roman" w:cs="Times New Roman"/>
          <w:b/>
          <w:color w:val="212121"/>
          <w:sz w:val="24"/>
          <w:szCs w:val="24"/>
          <w:shd w:val="clear" w:color="auto" w:fill="FFFFFF"/>
        </w:rPr>
        <w:t>Thematic overview</w:t>
      </w:r>
    </w:p>
    <w:p w:rsidR="00B52500" w:rsidRDefault="003A7732" w:rsidP="007F7325">
      <w:pPr>
        <w:spacing w:after="0" w:line="480" w:lineRule="auto"/>
        <w:ind w:firstLine="720"/>
        <w:rPr>
          <w:rFonts w:ascii="Times New Roman" w:hAnsi="Times New Roman" w:cs="Times New Roman"/>
          <w:color w:val="212121"/>
          <w:sz w:val="24"/>
          <w:szCs w:val="24"/>
        </w:rPr>
      </w:pPr>
      <w:r w:rsidRPr="00961E55">
        <w:rPr>
          <w:rFonts w:ascii="Times New Roman" w:hAnsi="Times New Roman" w:cs="Times New Roman"/>
          <w:color w:val="212121"/>
          <w:sz w:val="24"/>
          <w:szCs w:val="24"/>
          <w:shd w:val="clear" w:color="auto" w:fill="FFFFFF"/>
        </w:rPr>
        <w:t xml:space="preserve">Several broad themes tie the chapters together, presenting findings from this volume that could possibly speak to both FSU transition issues as well as transitions more generally. First, many of the chapters engage </w:t>
      </w:r>
      <w:r w:rsidRPr="00B52500">
        <w:rPr>
          <w:rFonts w:ascii="Times New Roman" w:hAnsi="Times New Roman" w:cs="Times New Roman"/>
          <w:b/>
          <w:i/>
          <w:color w:val="212121"/>
          <w:sz w:val="24"/>
          <w:szCs w:val="24"/>
          <w:shd w:val="clear" w:color="auto" w:fill="FFFFFF"/>
        </w:rPr>
        <w:t>framing, memory and manipulation issues</w:t>
      </w:r>
      <w:r w:rsidRPr="00961E55">
        <w:rPr>
          <w:rFonts w:ascii="Times New Roman" w:hAnsi="Times New Roman" w:cs="Times New Roman"/>
          <w:color w:val="212121"/>
          <w:sz w:val="24"/>
          <w:szCs w:val="24"/>
          <w:shd w:val="clear" w:color="auto" w:fill="FFFFFF"/>
        </w:rPr>
        <w:t xml:space="preserve">, highlighting that transitional justice is not necessarily benign. There is a significant volume of literature on the instrumental manipulation of the past to privilege a certain understanding of the future. Such an intentional framing or manipulation of certain memories or historical experiences could affect the impact of the measures. The state has been particularly active in the FSU reframing the past as a way to control the present. Many contributions in this volume engage with this manipulation of transitional justice, exploring possible perverse consequences of certain transitional justice </w:t>
      </w:r>
      <w:r w:rsidRPr="00961E55">
        <w:rPr>
          <w:rFonts w:ascii="Times New Roman" w:hAnsi="Times New Roman" w:cs="Times New Roman"/>
          <w:color w:val="212121"/>
          <w:sz w:val="24"/>
          <w:szCs w:val="24"/>
          <w:shd w:val="clear" w:color="auto" w:fill="FFFFFF"/>
        </w:rPr>
        <w:lastRenderedPageBreak/>
        <w:t xml:space="preserve">paths, such as Adler, Kramer, </w:t>
      </w:r>
      <w:proofErr w:type="spellStart"/>
      <w:r w:rsidRPr="00961E55">
        <w:rPr>
          <w:rFonts w:ascii="Times New Roman" w:hAnsi="Times New Roman" w:cs="Times New Roman"/>
          <w:color w:val="212121"/>
          <w:sz w:val="24"/>
          <w:szCs w:val="24"/>
          <w:shd w:val="clear" w:color="auto" w:fill="FFFFFF"/>
        </w:rPr>
        <w:t>Klymenko</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Budrytė</w:t>
      </w:r>
      <w:proofErr w:type="spellEnd"/>
      <w:r w:rsidRPr="00961E55">
        <w:rPr>
          <w:rFonts w:ascii="Times New Roman" w:hAnsi="Times New Roman" w:cs="Times New Roman"/>
          <w:color w:val="212121"/>
          <w:sz w:val="24"/>
          <w:szCs w:val="24"/>
          <w:shd w:val="clear" w:color="auto" w:fill="FFFFFF"/>
        </w:rPr>
        <w:t xml:space="preserve"> and </w:t>
      </w:r>
      <w:proofErr w:type="spellStart"/>
      <w:r w:rsidRPr="00961E55">
        <w:rPr>
          <w:rFonts w:ascii="Times New Roman" w:hAnsi="Times New Roman" w:cs="Times New Roman"/>
          <w:color w:val="212121"/>
          <w:sz w:val="24"/>
          <w:szCs w:val="24"/>
          <w:shd w:val="clear" w:color="auto" w:fill="FFFFFF"/>
        </w:rPr>
        <w:t>Davoliūtė’s</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Bekus</w:t>
      </w:r>
      <w:proofErr w:type="spellEnd"/>
      <w:r w:rsidRPr="00961E55">
        <w:rPr>
          <w:rFonts w:ascii="Times New Roman" w:hAnsi="Times New Roman" w:cs="Times New Roman"/>
          <w:color w:val="212121"/>
          <w:sz w:val="24"/>
          <w:szCs w:val="24"/>
          <w:shd w:val="clear" w:color="auto" w:fill="FFFFFF"/>
        </w:rPr>
        <w:t xml:space="preserve">, </w:t>
      </w:r>
      <w:proofErr w:type="spellStart"/>
      <w:r w:rsidR="00ED186C">
        <w:rPr>
          <w:rFonts w:ascii="Times New Roman" w:hAnsi="Times New Roman" w:cs="Times New Roman"/>
          <w:color w:val="212121"/>
          <w:sz w:val="24"/>
          <w:szCs w:val="24"/>
          <w:shd w:val="clear" w:color="auto" w:fill="FFFFFF"/>
        </w:rPr>
        <w:t>Trochev</w:t>
      </w:r>
      <w:proofErr w:type="spellEnd"/>
      <w:r w:rsidR="00ED186C">
        <w:rPr>
          <w:rFonts w:ascii="Times New Roman" w:hAnsi="Times New Roman" w:cs="Times New Roman"/>
          <w:color w:val="212121"/>
          <w:sz w:val="24"/>
          <w:szCs w:val="24"/>
          <w:shd w:val="clear" w:color="auto" w:fill="FFFFFF"/>
        </w:rPr>
        <w:t xml:space="preserve">, </w:t>
      </w:r>
      <w:r w:rsidRPr="00961E55">
        <w:rPr>
          <w:rFonts w:ascii="Times New Roman" w:hAnsi="Times New Roman" w:cs="Times New Roman"/>
          <w:color w:val="212121"/>
          <w:sz w:val="24"/>
          <w:szCs w:val="24"/>
          <w:shd w:val="clear" w:color="auto" w:fill="FFFFFF"/>
        </w:rPr>
        <w:t>Stan</w:t>
      </w:r>
      <w:r w:rsidR="00472DB8">
        <w:rPr>
          <w:rFonts w:ascii="Times New Roman" w:hAnsi="Times New Roman" w:cs="Times New Roman"/>
          <w:color w:val="212121"/>
          <w:sz w:val="24"/>
          <w:szCs w:val="24"/>
          <w:shd w:val="clear" w:color="auto" w:fill="FFFFFF"/>
        </w:rPr>
        <w:t>,</w:t>
      </w:r>
      <w:r w:rsidRPr="00961E55">
        <w:rPr>
          <w:rFonts w:ascii="Times New Roman" w:hAnsi="Times New Roman" w:cs="Times New Roman"/>
          <w:color w:val="212121"/>
          <w:sz w:val="24"/>
          <w:szCs w:val="24"/>
          <w:shd w:val="clear" w:color="auto" w:fill="FFFFFF"/>
        </w:rPr>
        <w:t xml:space="preserve"> and </w:t>
      </w:r>
      <w:proofErr w:type="spellStart"/>
      <w:r w:rsidRPr="00961E55">
        <w:rPr>
          <w:rFonts w:ascii="Times New Roman" w:hAnsi="Times New Roman" w:cs="Times New Roman"/>
          <w:color w:val="212121"/>
          <w:sz w:val="24"/>
          <w:szCs w:val="24"/>
          <w:shd w:val="clear" w:color="auto" w:fill="FFFFFF"/>
        </w:rPr>
        <w:t>Dimitrijević</w:t>
      </w:r>
      <w:proofErr w:type="spellEnd"/>
      <w:r w:rsidRPr="00961E55">
        <w:rPr>
          <w:rFonts w:ascii="Times New Roman" w:hAnsi="Times New Roman" w:cs="Times New Roman"/>
          <w:color w:val="212121"/>
          <w:sz w:val="24"/>
          <w:szCs w:val="24"/>
          <w:shd w:val="clear" w:color="auto" w:fill="FFFFFF"/>
        </w:rPr>
        <w:t>.</w:t>
      </w:r>
    </w:p>
    <w:p w:rsidR="00B52500" w:rsidRDefault="003A7732" w:rsidP="007F7325">
      <w:pPr>
        <w:spacing w:after="0" w:line="480" w:lineRule="auto"/>
        <w:ind w:firstLine="720"/>
        <w:rPr>
          <w:rFonts w:ascii="Times New Roman" w:hAnsi="Times New Roman" w:cs="Times New Roman"/>
          <w:color w:val="212121"/>
          <w:sz w:val="24"/>
          <w:szCs w:val="24"/>
        </w:rPr>
      </w:pPr>
      <w:r w:rsidRPr="00961E55">
        <w:rPr>
          <w:rFonts w:ascii="Times New Roman" w:hAnsi="Times New Roman" w:cs="Times New Roman"/>
          <w:color w:val="212121"/>
          <w:sz w:val="24"/>
          <w:szCs w:val="24"/>
          <w:shd w:val="clear" w:color="auto" w:fill="FFFFFF"/>
        </w:rPr>
        <w:t xml:space="preserve">For example, </w:t>
      </w:r>
      <w:proofErr w:type="spellStart"/>
      <w:r w:rsidRPr="00961E55">
        <w:rPr>
          <w:rFonts w:ascii="Times New Roman" w:hAnsi="Times New Roman" w:cs="Times New Roman"/>
          <w:color w:val="212121"/>
          <w:sz w:val="24"/>
          <w:szCs w:val="24"/>
          <w:shd w:val="clear" w:color="auto" w:fill="FFFFFF"/>
        </w:rPr>
        <w:t>Nanci</w:t>
      </w:r>
      <w:proofErr w:type="spellEnd"/>
      <w:r w:rsidRPr="00961E55">
        <w:rPr>
          <w:rFonts w:ascii="Times New Roman" w:hAnsi="Times New Roman" w:cs="Times New Roman"/>
          <w:color w:val="212121"/>
          <w:sz w:val="24"/>
          <w:szCs w:val="24"/>
          <w:shd w:val="clear" w:color="auto" w:fill="FFFFFF"/>
        </w:rPr>
        <w:t xml:space="preserve"> Adler’s chapter “Challenges to Transitional Justice in Russia” highlights not only the manner in which the state has suppressed all recognized, institutional transitional justice mechanisms to deal with crimes committed in the past, but also the rehabilitation and valorization of Stalin’s achievements as well as Stalin himself. Instead of reflecting on crimes committed in the past and acknowledging victims, the state has constructed what Adler describes as a “gilded version of the national past,” </w:t>
      </w:r>
      <w:proofErr w:type="spellStart"/>
      <w:r w:rsidRPr="00961E55">
        <w:rPr>
          <w:rFonts w:ascii="Times New Roman" w:hAnsi="Times New Roman" w:cs="Times New Roman"/>
          <w:color w:val="212121"/>
          <w:sz w:val="24"/>
          <w:szCs w:val="24"/>
          <w:shd w:val="clear" w:color="auto" w:fill="FFFFFF"/>
        </w:rPr>
        <w:t>instrumentalized</w:t>
      </w:r>
      <w:proofErr w:type="spellEnd"/>
      <w:r w:rsidRPr="00961E55">
        <w:rPr>
          <w:rFonts w:ascii="Times New Roman" w:hAnsi="Times New Roman" w:cs="Times New Roman"/>
          <w:color w:val="212121"/>
          <w:sz w:val="24"/>
          <w:szCs w:val="24"/>
          <w:shd w:val="clear" w:color="auto" w:fill="FFFFFF"/>
        </w:rPr>
        <w:t xml:space="preserve"> to support current state-building practices, promote patriotism</w:t>
      </w:r>
      <w:r w:rsidR="00472DB8">
        <w:rPr>
          <w:rFonts w:ascii="Times New Roman" w:hAnsi="Times New Roman" w:cs="Times New Roman"/>
          <w:color w:val="212121"/>
          <w:sz w:val="24"/>
          <w:szCs w:val="24"/>
          <w:shd w:val="clear" w:color="auto" w:fill="FFFFFF"/>
        </w:rPr>
        <w:t>,</w:t>
      </w:r>
      <w:r w:rsidRPr="00961E55">
        <w:rPr>
          <w:rFonts w:ascii="Times New Roman" w:hAnsi="Times New Roman" w:cs="Times New Roman"/>
          <w:color w:val="212121"/>
          <w:sz w:val="24"/>
          <w:szCs w:val="24"/>
          <w:shd w:val="clear" w:color="auto" w:fill="FFFFFF"/>
        </w:rPr>
        <w:t xml:space="preserve"> and justify repressive practices. Although there are some “bottom-up” efforts to remember victims, such as Memorial, such efforts have not resonated as broadly with the general public as a national narrative valorizing Stalin’s achievements. Adler’s chapter is a cautionary reminder that acts of remembering are political and not necessarily benign.</w:t>
      </w:r>
    </w:p>
    <w:p w:rsidR="00B52500" w:rsidRDefault="003A7732" w:rsidP="007F7325">
      <w:pPr>
        <w:spacing w:after="0" w:line="480" w:lineRule="auto"/>
        <w:ind w:firstLine="720"/>
        <w:rPr>
          <w:rFonts w:ascii="Times New Roman" w:hAnsi="Times New Roman" w:cs="Times New Roman"/>
          <w:color w:val="212121"/>
          <w:sz w:val="24"/>
          <w:szCs w:val="24"/>
        </w:rPr>
      </w:pPr>
      <w:r w:rsidRPr="00961E55">
        <w:rPr>
          <w:rFonts w:ascii="Times New Roman" w:hAnsi="Times New Roman" w:cs="Times New Roman"/>
          <w:color w:val="212121"/>
          <w:sz w:val="24"/>
          <w:szCs w:val="24"/>
          <w:shd w:val="clear" w:color="auto" w:fill="FFFFFF"/>
        </w:rPr>
        <w:t xml:space="preserve">Mark Kramer’s chapter “Public Memory and Communist Legacies in Poland and Russia” similarly engages the rehabilitation of the glory of Stalin in Russia as a means to further the state-building objectives of Vladimir Putin. Kramer’s chapter explores how the initial efforts by post-Soviet leaders in Russia to address Stalinist crimes have been intentionally hijacked by Putin, who has instrumentally used a revisionist interpretation of Stalinism to further his own state-building agenda. Alarmingly, Kramer's chapter explicates that although scholars have meticulously analyzed and made public information about the atrocities associated with Stalinism, the Russian government’s reimagining of this valorous past has fueled a wider indifference and lack of interest on the part of the Russian public to engage with the histories of state-led violence. Kramer’s chapter is made richer in its comparison with Poland, a country that </w:t>
      </w:r>
      <w:r w:rsidRPr="00961E55">
        <w:rPr>
          <w:rFonts w:ascii="Times New Roman" w:hAnsi="Times New Roman" w:cs="Times New Roman"/>
          <w:color w:val="212121"/>
          <w:sz w:val="24"/>
          <w:szCs w:val="24"/>
          <w:shd w:val="clear" w:color="auto" w:fill="FFFFFF"/>
        </w:rPr>
        <w:lastRenderedPageBreak/>
        <w:t xml:space="preserve">used formal transitional justice measures, </w:t>
      </w:r>
      <w:r w:rsidR="00D760FC">
        <w:rPr>
          <w:rFonts w:ascii="Times New Roman" w:hAnsi="Times New Roman" w:cs="Times New Roman"/>
          <w:color w:val="212121"/>
          <w:sz w:val="24"/>
          <w:szCs w:val="24"/>
          <w:shd w:val="clear" w:color="auto" w:fill="FFFFFF"/>
        </w:rPr>
        <w:t xml:space="preserve">and </w:t>
      </w:r>
      <w:r w:rsidRPr="00961E55">
        <w:rPr>
          <w:rFonts w:ascii="Times New Roman" w:hAnsi="Times New Roman" w:cs="Times New Roman"/>
          <w:color w:val="212121"/>
          <w:sz w:val="24"/>
          <w:szCs w:val="24"/>
          <w:shd w:val="clear" w:color="auto" w:fill="FFFFFF"/>
        </w:rPr>
        <w:t>simultaneously deni</w:t>
      </w:r>
      <w:r w:rsidR="00D760FC">
        <w:rPr>
          <w:rFonts w:ascii="Times New Roman" w:hAnsi="Times New Roman" w:cs="Times New Roman"/>
          <w:color w:val="212121"/>
          <w:sz w:val="24"/>
          <w:szCs w:val="24"/>
          <w:shd w:val="clear" w:color="auto" w:fill="FFFFFF"/>
        </w:rPr>
        <w:t>ed</w:t>
      </w:r>
      <w:r w:rsidRPr="00961E55">
        <w:rPr>
          <w:rFonts w:ascii="Times New Roman" w:hAnsi="Times New Roman" w:cs="Times New Roman"/>
          <w:color w:val="212121"/>
          <w:sz w:val="24"/>
          <w:szCs w:val="24"/>
          <w:shd w:val="clear" w:color="auto" w:fill="FFFFFF"/>
        </w:rPr>
        <w:t xml:space="preserve"> parts of its past involving discrimination and violence against Polish Jewry. Kramer’s chapter is a reminder of the problems of state </w:t>
      </w:r>
      <w:proofErr w:type="spellStart"/>
      <w:r w:rsidRPr="00961E55">
        <w:rPr>
          <w:rFonts w:ascii="Times New Roman" w:hAnsi="Times New Roman" w:cs="Times New Roman"/>
          <w:color w:val="212121"/>
          <w:sz w:val="24"/>
          <w:szCs w:val="24"/>
          <w:shd w:val="clear" w:color="auto" w:fill="FFFFFF"/>
        </w:rPr>
        <w:t>instrumentalization</w:t>
      </w:r>
      <w:proofErr w:type="spellEnd"/>
      <w:r w:rsidRPr="00961E55">
        <w:rPr>
          <w:rFonts w:ascii="Times New Roman" w:hAnsi="Times New Roman" w:cs="Times New Roman"/>
          <w:color w:val="212121"/>
          <w:sz w:val="24"/>
          <w:szCs w:val="24"/>
          <w:shd w:val="clear" w:color="auto" w:fill="FFFFFF"/>
        </w:rPr>
        <w:t xml:space="preserve"> of history to advance certain national narratives, both in the presence of transitional justice measures (Poland) and in the absence of such measures (Russia). In a word, public memory framing and (</w:t>
      </w:r>
      <w:proofErr w:type="spellStart"/>
      <w:r w:rsidRPr="00961E55">
        <w:rPr>
          <w:rFonts w:ascii="Times New Roman" w:hAnsi="Times New Roman" w:cs="Times New Roman"/>
          <w:color w:val="212121"/>
          <w:sz w:val="24"/>
          <w:szCs w:val="24"/>
          <w:shd w:val="clear" w:color="auto" w:fill="FFFFFF"/>
        </w:rPr>
        <w:t>mis</w:t>
      </w:r>
      <w:proofErr w:type="spellEnd"/>
      <w:r w:rsidRPr="00961E55">
        <w:rPr>
          <w:rFonts w:ascii="Times New Roman" w:hAnsi="Times New Roman" w:cs="Times New Roman"/>
          <w:color w:val="212121"/>
          <w:sz w:val="24"/>
          <w:szCs w:val="24"/>
          <w:shd w:val="clear" w:color="auto" w:fill="FFFFFF"/>
        </w:rPr>
        <w:t>)use can happen in a variety of domestic institutional contexts.</w:t>
      </w:r>
    </w:p>
    <w:p w:rsidR="00B52500" w:rsidRDefault="003A7732" w:rsidP="007F7325">
      <w:pPr>
        <w:spacing w:after="0" w:line="480" w:lineRule="auto"/>
        <w:ind w:firstLine="720"/>
        <w:rPr>
          <w:rFonts w:ascii="Times New Roman" w:hAnsi="Times New Roman" w:cs="Times New Roman"/>
          <w:color w:val="212121"/>
          <w:sz w:val="24"/>
          <w:szCs w:val="24"/>
        </w:rPr>
      </w:pPr>
      <w:proofErr w:type="spellStart"/>
      <w:r w:rsidRPr="00961E55">
        <w:rPr>
          <w:rFonts w:ascii="Times New Roman" w:hAnsi="Times New Roman" w:cs="Times New Roman"/>
          <w:color w:val="212121"/>
          <w:sz w:val="24"/>
          <w:szCs w:val="24"/>
          <w:shd w:val="clear" w:color="auto" w:fill="FFFFFF"/>
        </w:rPr>
        <w:t>Lina</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Klymenko’s</w:t>
      </w:r>
      <w:proofErr w:type="spellEnd"/>
      <w:r w:rsidRPr="00961E55">
        <w:rPr>
          <w:rFonts w:ascii="Times New Roman" w:hAnsi="Times New Roman" w:cs="Times New Roman"/>
          <w:color w:val="212121"/>
          <w:sz w:val="24"/>
          <w:szCs w:val="24"/>
          <w:shd w:val="clear" w:color="auto" w:fill="FFFFFF"/>
        </w:rPr>
        <w:t xml:space="preserve"> chapter “Transitional Justice and the Revision of History Textbooks: the 1932-33 Famine in Ukraine” traces changes in the narrative surrounding the 1932–33 famine in Ukraine, called the </w:t>
      </w:r>
      <w:proofErr w:type="spellStart"/>
      <w:r w:rsidRPr="00961E55">
        <w:rPr>
          <w:rFonts w:ascii="Times New Roman" w:hAnsi="Times New Roman" w:cs="Times New Roman"/>
          <w:color w:val="212121"/>
          <w:sz w:val="24"/>
          <w:szCs w:val="24"/>
          <w:shd w:val="clear" w:color="auto" w:fill="FFFFFF"/>
        </w:rPr>
        <w:t>Holomodor</w:t>
      </w:r>
      <w:proofErr w:type="spellEnd"/>
      <w:r w:rsidRPr="00961E55">
        <w:rPr>
          <w:rFonts w:ascii="Times New Roman" w:hAnsi="Times New Roman" w:cs="Times New Roman"/>
          <w:color w:val="212121"/>
          <w:sz w:val="24"/>
          <w:szCs w:val="24"/>
          <w:shd w:val="clear" w:color="auto" w:fill="FFFFFF"/>
        </w:rPr>
        <w:t xml:space="preserve">, as an example of both historical memory reframing and a soft form of transitional justice. </w:t>
      </w:r>
      <w:proofErr w:type="spellStart"/>
      <w:r w:rsidRPr="00961E55">
        <w:rPr>
          <w:rFonts w:ascii="Times New Roman" w:hAnsi="Times New Roman" w:cs="Times New Roman"/>
          <w:color w:val="212121"/>
          <w:sz w:val="24"/>
          <w:szCs w:val="24"/>
          <w:shd w:val="clear" w:color="auto" w:fill="FFFFFF"/>
        </w:rPr>
        <w:t>Klymenko</w:t>
      </w:r>
      <w:proofErr w:type="spellEnd"/>
      <w:r w:rsidRPr="00961E55">
        <w:rPr>
          <w:rFonts w:ascii="Times New Roman" w:hAnsi="Times New Roman" w:cs="Times New Roman"/>
          <w:color w:val="212121"/>
          <w:sz w:val="24"/>
          <w:szCs w:val="24"/>
          <w:shd w:val="clear" w:color="auto" w:fill="FFFFFF"/>
        </w:rPr>
        <w:t xml:space="preserve"> </w:t>
      </w:r>
      <w:r w:rsidR="006A26C0">
        <w:rPr>
          <w:rFonts w:ascii="Times New Roman" w:hAnsi="Times New Roman" w:cs="Times New Roman"/>
          <w:color w:val="212121"/>
          <w:sz w:val="24"/>
          <w:szCs w:val="24"/>
          <w:shd w:val="clear" w:color="auto" w:fill="FFFFFF"/>
        </w:rPr>
        <w:t>identifies</w:t>
      </w:r>
      <w:r w:rsidR="006A26C0" w:rsidRPr="00961E55">
        <w:rPr>
          <w:rFonts w:ascii="Times New Roman" w:hAnsi="Times New Roman" w:cs="Times New Roman"/>
          <w:color w:val="212121"/>
          <w:sz w:val="24"/>
          <w:szCs w:val="24"/>
          <w:shd w:val="clear" w:color="auto" w:fill="FFFFFF"/>
        </w:rPr>
        <w:t xml:space="preserve"> </w:t>
      </w:r>
      <w:r w:rsidRPr="00961E55">
        <w:rPr>
          <w:rFonts w:ascii="Times New Roman" w:hAnsi="Times New Roman" w:cs="Times New Roman"/>
          <w:color w:val="212121"/>
          <w:sz w:val="24"/>
          <w:szCs w:val="24"/>
          <w:shd w:val="clear" w:color="auto" w:fill="FFFFFF"/>
        </w:rPr>
        <w:t xml:space="preserve">the strategies employed in fifth grade textbooks to create a certain national identity for young Ukrainian readers, drawing on the condemnation of the Stalinist totalitarian regime and </w:t>
      </w:r>
      <w:proofErr w:type="gramStart"/>
      <w:r w:rsidRPr="00961E55">
        <w:rPr>
          <w:rFonts w:ascii="Times New Roman" w:hAnsi="Times New Roman" w:cs="Times New Roman"/>
          <w:color w:val="212121"/>
          <w:sz w:val="24"/>
          <w:szCs w:val="24"/>
          <w:shd w:val="clear" w:color="auto" w:fill="FFFFFF"/>
        </w:rPr>
        <w:t>a sympathy</w:t>
      </w:r>
      <w:proofErr w:type="gramEnd"/>
      <w:r w:rsidRPr="00961E55">
        <w:rPr>
          <w:rFonts w:ascii="Times New Roman" w:hAnsi="Times New Roman" w:cs="Times New Roman"/>
          <w:color w:val="212121"/>
          <w:sz w:val="24"/>
          <w:szCs w:val="24"/>
          <w:shd w:val="clear" w:color="auto" w:fill="FFFFFF"/>
        </w:rPr>
        <w:t xml:space="preserve"> for famine victims. In this way, </w:t>
      </w:r>
      <w:r w:rsidR="00DA0098">
        <w:rPr>
          <w:rFonts w:ascii="Times New Roman" w:hAnsi="Times New Roman" w:cs="Times New Roman"/>
          <w:color w:val="212121"/>
          <w:sz w:val="24"/>
          <w:szCs w:val="24"/>
          <w:shd w:val="clear" w:color="auto" w:fill="FFFFFF"/>
        </w:rPr>
        <w:t xml:space="preserve">the rewriting of </w:t>
      </w:r>
      <w:r w:rsidRPr="00961E55">
        <w:rPr>
          <w:rFonts w:ascii="Times New Roman" w:hAnsi="Times New Roman" w:cs="Times New Roman"/>
          <w:color w:val="212121"/>
          <w:sz w:val="24"/>
          <w:szCs w:val="24"/>
          <w:shd w:val="clear" w:color="auto" w:fill="FFFFFF"/>
        </w:rPr>
        <w:t>history textbook</w:t>
      </w:r>
      <w:r w:rsidR="00DA0098">
        <w:rPr>
          <w:rFonts w:ascii="Times New Roman" w:hAnsi="Times New Roman" w:cs="Times New Roman"/>
          <w:color w:val="212121"/>
          <w:sz w:val="24"/>
          <w:szCs w:val="24"/>
          <w:shd w:val="clear" w:color="auto" w:fill="FFFFFF"/>
        </w:rPr>
        <w:t>s</w:t>
      </w:r>
      <w:r w:rsidRPr="00961E55">
        <w:rPr>
          <w:rFonts w:ascii="Times New Roman" w:hAnsi="Times New Roman" w:cs="Times New Roman"/>
          <w:color w:val="212121"/>
          <w:sz w:val="24"/>
          <w:szCs w:val="24"/>
          <w:shd w:val="clear" w:color="auto" w:fill="FFFFFF"/>
        </w:rPr>
        <w:t xml:space="preserve"> functions as a transitional justice </w:t>
      </w:r>
      <w:r w:rsidR="00DA0098">
        <w:rPr>
          <w:rFonts w:ascii="Times New Roman" w:hAnsi="Times New Roman" w:cs="Times New Roman"/>
          <w:color w:val="212121"/>
          <w:sz w:val="24"/>
          <w:szCs w:val="24"/>
          <w:shd w:val="clear" w:color="auto" w:fill="FFFFFF"/>
        </w:rPr>
        <w:t xml:space="preserve">method </w:t>
      </w:r>
      <w:r w:rsidRPr="00961E55">
        <w:rPr>
          <w:rFonts w:ascii="Times New Roman" w:hAnsi="Times New Roman" w:cs="Times New Roman"/>
          <w:color w:val="212121"/>
          <w:sz w:val="24"/>
          <w:szCs w:val="24"/>
          <w:shd w:val="clear" w:color="auto" w:fill="FFFFFF"/>
        </w:rPr>
        <w:t xml:space="preserve">by presenting a new narrative about the </w:t>
      </w:r>
      <w:proofErr w:type="spellStart"/>
      <w:r w:rsidRPr="00961E55">
        <w:rPr>
          <w:rFonts w:ascii="Times New Roman" w:hAnsi="Times New Roman" w:cs="Times New Roman"/>
          <w:color w:val="212121"/>
          <w:sz w:val="24"/>
          <w:szCs w:val="24"/>
          <w:shd w:val="clear" w:color="auto" w:fill="FFFFFF"/>
        </w:rPr>
        <w:t>Holomodor</w:t>
      </w:r>
      <w:proofErr w:type="spellEnd"/>
      <w:r w:rsidRPr="00961E55">
        <w:rPr>
          <w:rFonts w:ascii="Times New Roman" w:hAnsi="Times New Roman" w:cs="Times New Roman"/>
          <w:color w:val="212121"/>
          <w:sz w:val="24"/>
          <w:szCs w:val="24"/>
          <w:shd w:val="clear" w:color="auto" w:fill="FFFFFF"/>
        </w:rPr>
        <w:t xml:space="preserve"> </w:t>
      </w:r>
      <w:r w:rsidR="00DA0098">
        <w:rPr>
          <w:rFonts w:ascii="Times New Roman" w:hAnsi="Times New Roman" w:cs="Times New Roman"/>
          <w:color w:val="212121"/>
          <w:sz w:val="24"/>
          <w:szCs w:val="24"/>
          <w:shd w:val="clear" w:color="auto" w:fill="FFFFFF"/>
        </w:rPr>
        <w:t xml:space="preserve">that </w:t>
      </w:r>
      <w:r w:rsidRPr="00961E55">
        <w:rPr>
          <w:rFonts w:ascii="Times New Roman" w:hAnsi="Times New Roman" w:cs="Times New Roman"/>
          <w:color w:val="212121"/>
          <w:sz w:val="24"/>
          <w:szCs w:val="24"/>
          <w:shd w:val="clear" w:color="auto" w:fill="FFFFFF"/>
        </w:rPr>
        <w:t>requir</w:t>
      </w:r>
      <w:r w:rsidR="00DA0098">
        <w:rPr>
          <w:rFonts w:ascii="Times New Roman" w:hAnsi="Times New Roman" w:cs="Times New Roman"/>
          <w:color w:val="212121"/>
          <w:sz w:val="24"/>
          <w:szCs w:val="24"/>
          <w:shd w:val="clear" w:color="auto" w:fill="FFFFFF"/>
        </w:rPr>
        <w:t>es</w:t>
      </w:r>
      <w:r w:rsidRPr="00961E55">
        <w:rPr>
          <w:rFonts w:ascii="Times New Roman" w:hAnsi="Times New Roman" w:cs="Times New Roman"/>
          <w:color w:val="212121"/>
          <w:sz w:val="24"/>
          <w:szCs w:val="24"/>
          <w:shd w:val="clear" w:color="auto" w:fill="FFFFFF"/>
        </w:rPr>
        <w:t xml:space="preserve"> both accountability for the past and the acknowledgment of the victims of this state orchestrated genocide of Ukrainian peasants. </w:t>
      </w:r>
      <w:proofErr w:type="spellStart"/>
      <w:r w:rsidRPr="00961E55">
        <w:rPr>
          <w:rFonts w:ascii="Times New Roman" w:hAnsi="Times New Roman" w:cs="Times New Roman"/>
          <w:color w:val="212121"/>
          <w:sz w:val="24"/>
          <w:szCs w:val="24"/>
          <w:shd w:val="clear" w:color="auto" w:fill="FFFFFF"/>
        </w:rPr>
        <w:t>Klymenko’s</w:t>
      </w:r>
      <w:proofErr w:type="spellEnd"/>
      <w:r w:rsidRPr="00961E55">
        <w:rPr>
          <w:rFonts w:ascii="Times New Roman" w:hAnsi="Times New Roman" w:cs="Times New Roman"/>
          <w:color w:val="212121"/>
          <w:sz w:val="24"/>
          <w:szCs w:val="24"/>
          <w:shd w:val="clear" w:color="auto" w:fill="FFFFFF"/>
        </w:rPr>
        <w:t xml:space="preserve"> </w:t>
      </w:r>
      <w:proofErr w:type="gramStart"/>
      <w:r w:rsidRPr="00961E55">
        <w:rPr>
          <w:rFonts w:ascii="Times New Roman" w:hAnsi="Times New Roman" w:cs="Times New Roman"/>
          <w:color w:val="212121"/>
          <w:sz w:val="24"/>
          <w:szCs w:val="24"/>
          <w:shd w:val="clear" w:color="auto" w:fill="FFFFFF"/>
        </w:rPr>
        <w:t>chapter is also an example of the use of history textbooks to present Ukraine as a victim of Stalin’s collectivization measures, and therefore create</w:t>
      </w:r>
      <w:proofErr w:type="gramEnd"/>
      <w:r w:rsidRPr="00961E55">
        <w:rPr>
          <w:rFonts w:ascii="Times New Roman" w:hAnsi="Times New Roman" w:cs="Times New Roman"/>
          <w:color w:val="212121"/>
          <w:sz w:val="24"/>
          <w:szCs w:val="24"/>
          <w:shd w:val="clear" w:color="auto" w:fill="FFFFFF"/>
        </w:rPr>
        <w:t xml:space="preserve"> an ‘other’ to blame. This reframing of history can be used to cultivate a new national Ukraine narrative, important for state-building in the post-Soviet period. As such, it is a reminder that the </w:t>
      </w:r>
      <w:proofErr w:type="spellStart"/>
      <w:r w:rsidRPr="00961E55">
        <w:rPr>
          <w:rFonts w:ascii="Times New Roman" w:hAnsi="Times New Roman" w:cs="Times New Roman"/>
          <w:color w:val="212121"/>
          <w:sz w:val="24"/>
          <w:szCs w:val="24"/>
          <w:shd w:val="clear" w:color="auto" w:fill="FFFFFF"/>
        </w:rPr>
        <w:t>instrumentalization</w:t>
      </w:r>
      <w:proofErr w:type="spellEnd"/>
      <w:r w:rsidRPr="00961E55">
        <w:rPr>
          <w:rFonts w:ascii="Times New Roman" w:hAnsi="Times New Roman" w:cs="Times New Roman"/>
          <w:color w:val="212121"/>
          <w:sz w:val="24"/>
          <w:szCs w:val="24"/>
          <w:shd w:val="clear" w:color="auto" w:fill="FFFFFF"/>
        </w:rPr>
        <w:t xml:space="preserve"> of post-Soviet memory to reframe genocide, repression, and violence is not always to whitewash the past. Memory reframing can also be a way to make up for past misrepresentations of state-led violence and to acknowledge the victims of those abuses. Nonetheless, in divided societies like Ukraine, naming or blaming Russians for the violence threatens to ignite volatile current ethnic divisions in society. In this </w:t>
      </w:r>
      <w:r w:rsidRPr="00961E55">
        <w:rPr>
          <w:rFonts w:ascii="Times New Roman" w:hAnsi="Times New Roman" w:cs="Times New Roman"/>
          <w:color w:val="212121"/>
          <w:sz w:val="24"/>
          <w:szCs w:val="24"/>
          <w:shd w:val="clear" w:color="auto" w:fill="FFFFFF"/>
        </w:rPr>
        <w:lastRenderedPageBreak/>
        <w:t xml:space="preserve">way, </w:t>
      </w:r>
      <w:proofErr w:type="spellStart"/>
      <w:r w:rsidRPr="00961E55">
        <w:rPr>
          <w:rFonts w:ascii="Times New Roman" w:hAnsi="Times New Roman" w:cs="Times New Roman"/>
          <w:color w:val="212121"/>
          <w:sz w:val="24"/>
          <w:szCs w:val="24"/>
          <w:shd w:val="clear" w:color="auto" w:fill="FFFFFF"/>
        </w:rPr>
        <w:t>Klymenko’s</w:t>
      </w:r>
      <w:proofErr w:type="spellEnd"/>
      <w:r w:rsidRPr="00961E55">
        <w:rPr>
          <w:rFonts w:ascii="Times New Roman" w:hAnsi="Times New Roman" w:cs="Times New Roman"/>
          <w:color w:val="212121"/>
          <w:sz w:val="24"/>
          <w:szCs w:val="24"/>
          <w:shd w:val="clear" w:color="auto" w:fill="FFFFFF"/>
        </w:rPr>
        <w:t xml:space="preserve"> chapter hints at the manner in which transitional justice could undermine societal reconciliation rather than advance it.</w:t>
      </w:r>
    </w:p>
    <w:p w:rsidR="0029277E" w:rsidRPr="00961E55" w:rsidRDefault="003A7732" w:rsidP="007F7325">
      <w:pPr>
        <w:spacing w:after="0" w:line="480" w:lineRule="auto"/>
        <w:ind w:firstLine="720"/>
        <w:rPr>
          <w:rFonts w:ascii="Times New Roman" w:hAnsi="Times New Roman" w:cs="Times New Roman"/>
          <w:b/>
          <w:sz w:val="24"/>
          <w:szCs w:val="24"/>
        </w:rPr>
      </w:pPr>
      <w:r w:rsidRPr="00961E55">
        <w:rPr>
          <w:rFonts w:ascii="Times New Roman" w:hAnsi="Times New Roman" w:cs="Times New Roman"/>
          <w:color w:val="212121"/>
          <w:sz w:val="24"/>
          <w:szCs w:val="24"/>
          <w:shd w:val="clear" w:color="auto" w:fill="FFFFFF"/>
        </w:rPr>
        <w:t xml:space="preserve">A second main theme running through this volume is the challenge of </w:t>
      </w:r>
      <w:r w:rsidRPr="00B52500">
        <w:rPr>
          <w:rFonts w:ascii="Times New Roman" w:hAnsi="Times New Roman" w:cs="Times New Roman"/>
          <w:b/>
          <w:i/>
          <w:color w:val="212121"/>
          <w:sz w:val="24"/>
          <w:szCs w:val="24"/>
          <w:shd w:val="clear" w:color="auto" w:fill="FFFFFF"/>
        </w:rPr>
        <w:t xml:space="preserve">overlapping </w:t>
      </w:r>
      <w:r w:rsidR="00B52500">
        <w:rPr>
          <w:rFonts w:ascii="Times New Roman" w:hAnsi="Times New Roman" w:cs="Times New Roman"/>
          <w:b/>
          <w:i/>
          <w:color w:val="212121"/>
          <w:sz w:val="24"/>
          <w:szCs w:val="24"/>
          <w:shd w:val="clear" w:color="auto" w:fill="FFFFFF"/>
        </w:rPr>
        <w:t xml:space="preserve">transitional justice measures and </w:t>
      </w:r>
      <w:r w:rsidRPr="00B52500">
        <w:rPr>
          <w:rFonts w:ascii="Times New Roman" w:hAnsi="Times New Roman" w:cs="Times New Roman"/>
          <w:b/>
          <w:i/>
          <w:color w:val="212121"/>
          <w:sz w:val="24"/>
          <w:szCs w:val="24"/>
          <w:shd w:val="clear" w:color="auto" w:fill="FFFFFF"/>
        </w:rPr>
        <w:t>memory issues</w:t>
      </w:r>
      <w:r w:rsidRPr="00961E55">
        <w:rPr>
          <w:rFonts w:ascii="Times New Roman" w:hAnsi="Times New Roman" w:cs="Times New Roman"/>
          <w:color w:val="212121"/>
          <w:sz w:val="24"/>
          <w:szCs w:val="24"/>
          <w:shd w:val="clear" w:color="auto" w:fill="FFFFFF"/>
        </w:rPr>
        <w:t>. Multiple, unaddressed regime abuses exist in the post-Soviet space. Proximate aggressions are layered on previous aggressions. The manner in which elites choose to address some crimes of the past but not others can affect the resulting state-building or societal reconciliation process. If some wrongs are addressed and others are intentionally left unattended, this can result in distorted policies, possibly tainting the transitional justice processes themselves. There is significant variation in the FSU in terms of how states have decided to address these layered historical legacies. This volume presents cases such as Russia (Adler, Kramer), Ukraine (Horne, David), Georgia (Austin), Moldova (Stan)</w:t>
      </w:r>
      <w:r w:rsidR="00122CEF">
        <w:rPr>
          <w:rFonts w:ascii="Times New Roman" w:hAnsi="Times New Roman" w:cs="Times New Roman"/>
          <w:color w:val="212121"/>
          <w:sz w:val="24"/>
          <w:szCs w:val="24"/>
          <w:shd w:val="clear" w:color="auto" w:fill="FFFFFF"/>
        </w:rPr>
        <w:t>,</w:t>
      </w:r>
      <w:r w:rsidRPr="00961E55">
        <w:rPr>
          <w:rFonts w:ascii="Times New Roman" w:hAnsi="Times New Roman" w:cs="Times New Roman"/>
          <w:color w:val="212121"/>
          <w:sz w:val="24"/>
          <w:szCs w:val="24"/>
          <w:shd w:val="clear" w:color="auto" w:fill="FFFFFF"/>
        </w:rPr>
        <w:t xml:space="preserve"> </w:t>
      </w:r>
      <w:r w:rsidR="00D57C8B">
        <w:rPr>
          <w:rFonts w:ascii="Times New Roman" w:hAnsi="Times New Roman" w:cs="Times New Roman"/>
          <w:color w:val="212121"/>
          <w:sz w:val="24"/>
          <w:szCs w:val="24"/>
          <w:shd w:val="clear" w:color="auto" w:fill="FFFFFF"/>
        </w:rPr>
        <w:t xml:space="preserve">Armenia </w:t>
      </w:r>
      <w:r w:rsidR="00D57C8B" w:rsidRPr="00D57C8B">
        <w:rPr>
          <w:rFonts w:ascii="Times New Roman" w:hAnsi="Times New Roman" w:cs="Times New Roman"/>
          <w:color w:val="212121"/>
          <w:sz w:val="24"/>
          <w:szCs w:val="24"/>
          <w:shd w:val="clear" w:color="auto" w:fill="FFFFFF"/>
        </w:rPr>
        <w:t>(</w:t>
      </w:r>
      <w:proofErr w:type="spellStart"/>
      <w:r w:rsidR="00D57C8B" w:rsidRPr="00D57C8B">
        <w:rPr>
          <w:rFonts w:ascii="Times New Roman" w:hAnsi="Times New Roman" w:cs="Times New Roman"/>
          <w:sz w:val="24"/>
          <w:szCs w:val="24"/>
        </w:rPr>
        <w:t>Suciu</w:t>
      </w:r>
      <w:proofErr w:type="spellEnd"/>
      <w:r w:rsidR="00D57C8B" w:rsidRPr="00D57C8B">
        <w:rPr>
          <w:rFonts w:ascii="Times New Roman" w:hAnsi="Times New Roman" w:cs="Times New Roman"/>
          <w:sz w:val="24"/>
          <w:szCs w:val="24"/>
        </w:rPr>
        <w:t>)</w:t>
      </w:r>
      <w:r w:rsidR="00D57C8B" w:rsidRPr="00961E55">
        <w:rPr>
          <w:rFonts w:ascii="Times New Roman" w:hAnsi="Times New Roman" w:cs="Times New Roman"/>
          <w:color w:val="212121"/>
          <w:sz w:val="24"/>
          <w:szCs w:val="24"/>
          <w:shd w:val="clear" w:color="auto" w:fill="FFFFFF"/>
        </w:rPr>
        <w:t xml:space="preserve"> </w:t>
      </w:r>
      <w:r w:rsidRPr="00961E55">
        <w:rPr>
          <w:rFonts w:ascii="Times New Roman" w:hAnsi="Times New Roman" w:cs="Times New Roman"/>
          <w:color w:val="212121"/>
          <w:sz w:val="24"/>
          <w:szCs w:val="24"/>
          <w:shd w:val="clear" w:color="auto" w:fill="FFFFFF"/>
        </w:rPr>
        <w:t xml:space="preserve">and the </w:t>
      </w:r>
      <w:proofErr w:type="spellStart"/>
      <w:r w:rsidRPr="00961E55">
        <w:rPr>
          <w:rFonts w:ascii="Times New Roman" w:hAnsi="Times New Roman" w:cs="Times New Roman"/>
          <w:color w:val="212121"/>
          <w:sz w:val="24"/>
          <w:szCs w:val="24"/>
          <w:shd w:val="clear" w:color="auto" w:fill="FFFFFF"/>
        </w:rPr>
        <w:t>Baltics</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Fijalkowski</w:t>
      </w:r>
      <w:proofErr w:type="spellEnd"/>
      <w:r w:rsidRPr="00961E55">
        <w:rPr>
          <w:rFonts w:ascii="Times New Roman" w:hAnsi="Times New Roman" w:cs="Times New Roman"/>
          <w:color w:val="212121"/>
          <w:sz w:val="24"/>
          <w:szCs w:val="24"/>
          <w:shd w:val="clear" w:color="auto" w:fill="FFFFFF"/>
        </w:rPr>
        <w:t xml:space="preserve">, </w:t>
      </w:r>
      <w:proofErr w:type="spellStart"/>
      <w:r w:rsidRPr="00961E55">
        <w:rPr>
          <w:rFonts w:ascii="Times New Roman" w:hAnsi="Times New Roman" w:cs="Times New Roman"/>
          <w:color w:val="212121"/>
          <w:sz w:val="24"/>
          <w:szCs w:val="24"/>
          <w:shd w:val="clear" w:color="auto" w:fill="FFFFFF"/>
        </w:rPr>
        <w:t>Budrytė</w:t>
      </w:r>
      <w:proofErr w:type="spellEnd"/>
      <w:r w:rsidRPr="00961E55">
        <w:rPr>
          <w:rFonts w:ascii="Times New Roman" w:hAnsi="Times New Roman" w:cs="Times New Roman"/>
          <w:color w:val="212121"/>
          <w:sz w:val="24"/>
          <w:szCs w:val="24"/>
          <w:shd w:val="clear" w:color="auto" w:fill="FFFFFF"/>
        </w:rPr>
        <w:t xml:space="preserve"> and </w:t>
      </w:r>
      <w:proofErr w:type="spellStart"/>
      <w:r w:rsidRPr="00961E55">
        <w:rPr>
          <w:rFonts w:ascii="Times New Roman" w:hAnsi="Times New Roman" w:cs="Times New Roman"/>
          <w:color w:val="212121"/>
          <w:sz w:val="24"/>
          <w:szCs w:val="24"/>
          <w:shd w:val="clear" w:color="auto" w:fill="FFFFFF"/>
        </w:rPr>
        <w:t>Davoliūtė’s</w:t>
      </w:r>
      <w:proofErr w:type="spellEnd"/>
      <w:r w:rsidRPr="00961E55">
        <w:rPr>
          <w:rFonts w:ascii="Times New Roman" w:hAnsi="Times New Roman" w:cs="Times New Roman"/>
          <w:color w:val="212121"/>
          <w:sz w:val="24"/>
          <w:szCs w:val="24"/>
          <w:shd w:val="clear" w:color="auto" w:fill="FFFFFF"/>
        </w:rPr>
        <w:t xml:space="preserve">), with attention to </w:t>
      </w:r>
      <w:r w:rsidR="00AD4CA7">
        <w:rPr>
          <w:rFonts w:ascii="Times New Roman" w:hAnsi="Times New Roman" w:cs="Times New Roman"/>
          <w:color w:val="212121"/>
          <w:sz w:val="24"/>
          <w:szCs w:val="24"/>
          <w:shd w:val="clear" w:color="auto" w:fill="FFFFFF"/>
        </w:rPr>
        <w:t>cases</w:t>
      </w:r>
      <w:r w:rsidRPr="00961E55">
        <w:rPr>
          <w:rFonts w:ascii="Times New Roman" w:hAnsi="Times New Roman" w:cs="Times New Roman"/>
          <w:color w:val="212121"/>
          <w:sz w:val="24"/>
          <w:szCs w:val="24"/>
          <w:shd w:val="clear" w:color="auto" w:fill="FFFFFF"/>
        </w:rPr>
        <w:t xml:space="preserve"> in which Soviet repressions were layered on </w:t>
      </w:r>
      <w:r w:rsidR="00AD4CA7">
        <w:rPr>
          <w:rFonts w:ascii="Times New Roman" w:hAnsi="Times New Roman" w:cs="Times New Roman"/>
          <w:color w:val="212121"/>
          <w:sz w:val="24"/>
          <w:szCs w:val="24"/>
          <w:shd w:val="clear" w:color="auto" w:fill="FFFFFF"/>
        </w:rPr>
        <w:t xml:space="preserve">unresolved </w:t>
      </w:r>
      <w:r w:rsidRPr="00961E55">
        <w:rPr>
          <w:rFonts w:ascii="Times New Roman" w:hAnsi="Times New Roman" w:cs="Times New Roman"/>
          <w:color w:val="212121"/>
          <w:sz w:val="24"/>
          <w:szCs w:val="24"/>
          <w:shd w:val="clear" w:color="auto" w:fill="FFFFFF"/>
        </w:rPr>
        <w:t>W</w:t>
      </w:r>
      <w:r w:rsidR="00122CEF">
        <w:rPr>
          <w:rFonts w:ascii="Times New Roman" w:hAnsi="Times New Roman" w:cs="Times New Roman"/>
          <w:color w:val="212121"/>
          <w:sz w:val="24"/>
          <w:szCs w:val="24"/>
          <w:shd w:val="clear" w:color="auto" w:fill="FFFFFF"/>
        </w:rPr>
        <w:t xml:space="preserve">orld </w:t>
      </w:r>
      <w:r w:rsidRPr="00961E55">
        <w:rPr>
          <w:rFonts w:ascii="Times New Roman" w:hAnsi="Times New Roman" w:cs="Times New Roman"/>
          <w:color w:val="212121"/>
          <w:sz w:val="24"/>
          <w:szCs w:val="24"/>
          <w:shd w:val="clear" w:color="auto" w:fill="FFFFFF"/>
        </w:rPr>
        <w:t>W</w:t>
      </w:r>
      <w:r w:rsidR="00122CEF">
        <w:rPr>
          <w:rFonts w:ascii="Times New Roman" w:hAnsi="Times New Roman" w:cs="Times New Roman"/>
          <w:color w:val="212121"/>
          <w:sz w:val="24"/>
          <w:szCs w:val="24"/>
          <w:shd w:val="clear" w:color="auto" w:fill="FFFFFF"/>
        </w:rPr>
        <w:t xml:space="preserve">ar </w:t>
      </w:r>
      <w:r w:rsidRPr="00961E55">
        <w:rPr>
          <w:rFonts w:ascii="Times New Roman" w:hAnsi="Times New Roman" w:cs="Times New Roman"/>
          <w:color w:val="212121"/>
          <w:sz w:val="24"/>
          <w:szCs w:val="24"/>
          <w:shd w:val="clear" w:color="auto" w:fill="FFFFFF"/>
        </w:rPr>
        <w:t>II atrocities</w:t>
      </w:r>
      <w:r w:rsidR="00AD4CA7">
        <w:rPr>
          <w:rFonts w:ascii="Times New Roman" w:hAnsi="Times New Roman" w:cs="Times New Roman"/>
          <w:color w:val="212121"/>
          <w:sz w:val="24"/>
          <w:szCs w:val="24"/>
          <w:shd w:val="clear" w:color="auto" w:fill="FFFFFF"/>
        </w:rPr>
        <w:t>,</w:t>
      </w:r>
      <w:r w:rsidR="00B52500">
        <w:rPr>
          <w:rFonts w:ascii="Times New Roman" w:hAnsi="Times New Roman" w:cs="Times New Roman"/>
          <w:color w:val="212121"/>
          <w:sz w:val="24"/>
          <w:szCs w:val="24"/>
          <w:shd w:val="clear" w:color="auto" w:fill="FFFFFF"/>
        </w:rPr>
        <w:t xml:space="preserve"> as well as </w:t>
      </w:r>
      <w:r w:rsidR="00AD4CA7">
        <w:rPr>
          <w:rFonts w:ascii="Times New Roman" w:hAnsi="Times New Roman" w:cs="Times New Roman"/>
          <w:color w:val="212121"/>
          <w:sz w:val="24"/>
          <w:szCs w:val="24"/>
          <w:shd w:val="clear" w:color="auto" w:fill="FFFFFF"/>
        </w:rPr>
        <w:t xml:space="preserve">cases in which atrocities associated with </w:t>
      </w:r>
      <w:r w:rsidR="00B52500">
        <w:rPr>
          <w:rFonts w:ascii="Times New Roman" w:hAnsi="Times New Roman" w:cs="Times New Roman"/>
          <w:color w:val="212121"/>
          <w:sz w:val="24"/>
          <w:szCs w:val="24"/>
          <w:shd w:val="clear" w:color="auto" w:fill="FFFFFF"/>
        </w:rPr>
        <w:t>more</w:t>
      </w:r>
      <w:r w:rsidRPr="00961E55">
        <w:rPr>
          <w:rFonts w:ascii="Times New Roman" w:hAnsi="Times New Roman" w:cs="Times New Roman"/>
          <w:color w:val="212121"/>
          <w:sz w:val="24"/>
          <w:szCs w:val="24"/>
          <w:shd w:val="clear" w:color="auto" w:fill="FFFFFF"/>
        </w:rPr>
        <w:t xml:space="preserve"> recent military conflicts are layered on </w:t>
      </w:r>
      <w:r w:rsidR="00AD4CA7">
        <w:rPr>
          <w:rFonts w:ascii="Times New Roman" w:hAnsi="Times New Roman" w:cs="Times New Roman"/>
          <w:color w:val="212121"/>
          <w:sz w:val="24"/>
          <w:szCs w:val="24"/>
          <w:shd w:val="clear" w:color="auto" w:fill="FFFFFF"/>
        </w:rPr>
        <w:t xml:space="preserve">unaddressed </w:t>
      </w:r>
      <w:r w:rsidRPr="00961E55">
        <w:rPr>
          <w:rFonts w:ascii="Times New Roman" w:hAnsi="Times New Roman" w:cs="Times New Roman"/>
          <w:color w:val="212121"/>
          <w:sz w:val="24"/>
          <w:szCs w:val="24"/>
          <w:shd w:val="clear" w:color="auto" w:fill="FFFFFF"/>
        </w:rPr>
        <w:t>Soviet-era offenses.</w:t>
      </w:r>
    </w:p>
    <w:p w:rsidR="0029277E" w:rsidRDefault="00E32D1A" w:rsidP="007F73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Roman David considers </w:t>
      </w:r>
      <w:r w:rsidR="00C9073E">
        <w:rPr>
          <w:rFonts w:ascii="Times New Roman" w:hAnsi="Times New Roman" w:cs="Times New Roman"/>
          <w:sz w:val="24"/>
          <w:szCs w:val="24"/>
        </w:rPr>
        <w:t>layered pasts and transitional justice measures</w:t>
      </w:r>
      <w:r>
        <w:rPr>
          <w:rFonts w:ascii="Times New Roman" w:hAnsi="Times New Roman" w:cs="Times New Roman"/>
          <w:sz w:val="24"/>
          <w:szCs w:val="24"/>
        </w:rPr>
        <w:t xml:space="preserve"> in Ukraine in the chapter</w:t>
      </w:r>
      <w:r w:rsidR="0029277E" w:rsidRPr="001B2E6A">
        <w:rPr>
          <w:rFonts w:ascii="Times New Roman" w:hAnsi="Times New Roman" w:cs="Times New Roman"/>
          <w:sz w:val="24"/>
          <w:szCs w:val="24"/>
        </w:rPr>
        <w:t xml:space="preserve"> “Lustration in Ukraine and Democracy Capable of Defending Itself</w:t>
      </w:r>
      <w:r>
        <w:rPr>
          <w:rFonts w:ascii="Times New Roman" w:hAnsi="Times New Roman" w:cs="Times New Roman"/>
          <w:sz w:val="24"/>
          <w:szCs w:val="24"/>
        </w:rPr>
        <w:t>.</w:t>
      </w:r>
      <w:r w:rsidR="0029277E" w:rsidRPr="001B2E6A">
        <w:rPr>
          <w:rFonts w:ascii="Times New Roman" w:hAnsi="Times New Roman" w:cs="Times New Roman"/>
          <w:sz w:val="24"/>
          <w:szCs w:val="24"/>
        </w:rPr>
        <w:t>” Ukraine’s lustration measures</w:t>
      </w:r>
      <w:r>
        <w:rPr>
          <w:rFonts w:ascii="Times New Roman" w:hAnsi="Times New Roman" w:cs="Times New Roman"/>
          <w:sz w:val="24"/>
          <w:szCs w:val="24"/>
        </w:rPr>
        <w:t xml:space="preserve">, </w:t>
      </w:r>
      <w:r w:rsidRPr="001B2E6A">
        <w:rPr>
          <w:rFonts w:ascii="Times New Roman" w:hAnsi="Times New Roman" w:cs="Times New Roman"/>
          <w:sz w:val="24"/>
          <w:szCs w:val="24"/>
        </w:rPr>
        <w:t>a regionally specific form of employment vetting widely used in the post-communist transitions in C</w:t>
      </w:r>
      <w:r>
        <w:rPr>
          <w:rFonts w:ascii="Times New Roman" w:hAnsi="Times New Roman" w:cs="Times New Roman"/>
          <w:sz w:val="24"/>
          <w:szCs w:val="24"/>
        </w:rPr>
        <w:t>EE,</w:t>
      </w:r>
      <w:r w:rsidR="0029277E" w:rsidRPr="001B2E6A">
        <w:rPr>
          <w:rFonts w:ascii="Times New Roman" w:hAnsi="Times New Roman" w:cs="Times New Roman"/>
          <w:sz w:val="24"/>
          <w:szCs w:val="24"/>
        </w:rPr>
        <w:t xml:space="preserve"> were designed to tackle the Soviet communist legacies</w:t>
      </w:r>
      <w:r w:rsidR="00671074">
        <w:rPr>
          <w:rFonts w:ascii="Times New Roman" w:hAnsi="Times New Roman" w:cs="Times New Roman"/>
          <w:sz w:val="24"/>
          <w:szCs w:val="24"/>
        </w:rPr>
        <w:t xml:space="preserve">, </w:t>
      </w:r>
      <w:r w:rsidR="0029277E" w:rsidRPr="001B2E6A">
        <w:rPr>
          <w:rFonts w:ascii="Times New Roman" w:hAnsi="Times New Roman" w:cs="Times New Roman"/>
          <w:sz w:val="24"/>
          <w:szCs w:val="24"/>
        </w:rPr>
        <w:t xml:space="preserve">the excesses of Viktor </w:t>
      </w:r>
      <w:proofErr w:type="spellStart"/>
      <w:r w:rsidR="0029277E" w:rsidRPr="001B2E6A">
        <w:rPr>
          <w:rFonts w:ascii="Times New Roman" w:hAnsi="Times New Roman" w:cs="Times New Roman"/>
          <w:sz w:val="24"/>
          <w:szCs w:val="24"/>
        </w:rPr>
        <w:t>Yanukovych’s</w:t>
      </w:r>
      <w:proofErr w:type="spellEnd"/>
      <w:r w:rsidR="0029277E" w:rsidRPr="001B2E6A">
        <w:rPr>
          <w:rFonts w:ascii="Times New Roman" w:hAnsi="Times New Roman" w:cs="Times New Roman"/>
          <w:sz w:val="24"/>
          <w:szCs w:val="24"/>
        </w:rPr>
        <w:t xml:space="preserve"> regime</w:t>
      </w:r>
      <w:r>
        <w:rPr>
          <w:rFonts w:ascii="Times New Roman" w:hAnsi="Times New Roman" w:cs="Times New Roman"/>
          <w:sz w:val="24"/>
          <w:szCs w:val="24"/>
        </w:rPr>
        <w:t xml:space="preserve">, </w:t>
      </w:r>
      <w:r w:rsidR="00671074">
        <w:rPr>
          <w:rFonts w:ascii="Times New Roman" w:hAnsi="Times New Roman" w:cs="Times New Roman"/>
          <w:sz w:val="24"/>
          <w:szCs w:val="24"/>
        </w:rPr>
        <w:t>and the</w:t>
      </w:r>
      <w:r w:rsidR="0029277E" w:rsidRPr="001B2E6A">
        <w:rPr>
          <w:rFonts w:ascii="Times New Roman" w:hAnsi="Times New Roman" w:cs="Times New Roman"/>
          <w:sz w:val="24"/>
          <w:szCs w:val="24"/>
        </w:rPr>
        <w:t xml:space="preserve"> human rights abuses committed during the </w:t>
      </w:r>
      <w:proofErr w:type="spellStart"/>
      <w:r w:rsidR="0029277E" w:rsidRPr="001B2E6A">
        <w:rPr>
          <w:rFonts w:ascii="Times New Roman" w:hAnsi="Times New Roman" w:cs="Times New Roman"/>
          <w:sz w:val="24"/>
          <w:szCs w:val="24"/>
        </w:rPr>
        <w:t>Euromaidan</w:t>
      </w:r>
      <w:proofErr w:type="spellEnd"/>
      <w:r w:rsidR="0029277E" w:rsidRPr="001B2E6A">
        <w:rPr>
          <w:rFonts w:ascii="Times New Roman" w:hAnsi="Times New Roman" w:cs="Times New Roman"/>
          <w:sz w:val="24"/>
          <w:szCs w:val="24"/>
        </w:rPr>
        <w:t xml:space="preserve"> protests. </w:t>
      </w:r>
      <w:r w:rsidR="00671074">
        <w:rPr>
          <w:rFonts w:ascii="Times New Roman" w:hAnsi="Times New Roman" w:cs="Times New Roman"/>
          <w:sz w:val="24"/>
          <w:szCs w:val="24"/>
        </w:rPr>
        <w:t>Hence</w:t>
      </w:r>
      <w:r w:rsidR="0029277E" w:rsidRPr="001B2E6A">
        <w:rPr>
          <w:rFonts w:ascii="Times New Roman" w:hAnsi="Times New Roman" w:cs="Times New Roman"/>
          <w:sz w:val="24"/>
          <w:szCs w:val="24"/>
        </w:rPr>
        <w:t xml:space="preserve">, Ukraine’s 2014 lustration measures addressed multiple, layered wrongs committed in the proximate and distant past. While the lustration measures focused on the more recent abuses, there was an explicit acknowledgement that the Soviet era abuses and </w:t>
      </w:r>
      <w:r w:rsidR="0029277E" w:rsidRPr="001B2E6A">
        <w:rPr>
          <w:rFonts w:ascii="Times New Roman" w:hAnsi="Times New Roman" w:cs="Times New Roman"/>
          <w:sz w:val="24"/>
          <w:szCs w:val="24"/>
        </w:rPr>
        <w:lastRenderedPageBreak/>
        <w:t xml:space="preserve">post-Soviet abuses were </w:t>
      </w:r>
      <w:proofErr w:type="gramStart"/>
      <w:r w:rsidR="0029277E" w:rsidRPr="001B2E6A">
        <w:rPr>
          <w:rFonts w:ascii="Times New Roman" w:hAnsi="Times New Roman" w:cs="Times New Roman"/>
          <w:sz w:val="24"/>
          <w:szCs w:val="24"/>
        </w:rPr>
        <w:t>related</w:t>
      </w:r>
      <w:r w:rsidR="001B2E6A">
        <w:rPr>
          <w:rFonts w:ascii="Times New Roman" w:hAnsi="Times New Roman" w:cs="Times New Roman"/>
          <w:sz w:val="24"/>
          <w:szCs w:val="24"/>
        </w:rPr>
        <w:t>,</w:t>
      </w:r>
      <w:proofErr w:type="gramEnd"/>
      <w:r w:rsidR="0029277E" w:rsidRPr="001B2E6A">
        <w:rPr>
          <w:rFonts w:ascii="Times New Roman" w:hAnsi="Times New Roman" w:cs="Times New Roman"/>
          <w:sz w:val="24"/>
          <w:szCs w:val="24"/>
        </w:rPr>
        <w:t xml:space="preserve"> and </w:t>
      </w:r>
      <w:r w:rsidR="001B2E6A">
        <w:rPr>
          <w:rFonts w:ascii="Times New Roman" w:hAnsi="Times New Roman" w:cs="Times New Roman"/>
          <w:sz w:val="24"/>
          <w:szCs w:val="24"/>
        </w:rPr>
        <w:t xml:space="preserve">that </w:t>
      </w:r>
      <w:r w:rsidR="0029277E" w:rsidRPr="001B2E6A">
        <w:rPr>
          <w:rFonts w:ascii="Times New Roman" w:hAnsi="Times New Roman" w:cs="Times New Roman"/>
          <w:sz w:val="24"/>
          <w:szCs w:val="24"/>
        </w:rPr>
        <w:t>in some ways the unaddressed Soviet past created problems in the post-Soviet present.</w:t>
      </w:r>
      <w:r w:rsidR="0029277E">
        <w:rPr>
          <w:rFonts w:ascii="Times New Roman" w:hAnsi="Times New Roman" w:cs="Times New Roman"/>
          <w:sz w:val="24"/>
          <w:szCs w:val="24"/>
        </w:rPr>
        <w:t xml:space="preserve"> The larger implication here is the manner in which unresolved previous abuses can taint the foundations on which a new regime is established. </w:t>
      </w:r>
      <w:r w:rsidR="001B2E6A">
        <w:rPr>
          <w:rFonts w:ascii="Times New Roman" w:hAnsi="Times New Roman" w:cs="Times New Roman"/>
          <w:sz w:val="24"/>
          <w:szCs w:val="24"/>
        </w:rPr>
        <w:t xml:space="preserve">Additionally, there is a significant role for civil society in David’s chapter. </w:t>
      </w:r>
      <w:r w:rsidR="001B2E6A" w:rsidRPr="001B2E6A">
        <w:rPr>
          <w:rFonts w:ascii="Times New Roman" w:hAnsi="Times New Roman" w:cs="Times New Roman"/>
          <w:sz w:val="24"/>
          <w:szCs w:val="24"/>
        </w:rPr>
        <w:t xml:space="preserve">David details the groundswell public support for a lustration of political officials in the wake of the </w:t>
      </w:r>
      <w:proofErr w:type="spellStart"/>
      <w:r w:rsidR="001B2E6A" w:rsidRPr="001B2E6A">
        <w:rPr>
          <w:rFonts w:ascii="Times New Roman" w:hAnsi="Times New Roman" w:cs="Times New Roman"/>
          <w:sz w:val="24"/>
          <w:szCs w:val="24"/>
        </w:rPr>
        <w:t>Euromaidan</w:t>
      </w:r>
      <w:proofErr w:type="spellEnd"/>
      <w:r w:rsidR="001B2E6A" w:rsidRPr="001B2E6A">
        <w:rPr>
          <w:rFonts w:ascii="Times New Roman" w:hAnsi="Times New Roman" w:cs="Times New Roman"/>
          <w:sz w:val="24"/>
          <w:szCs w:val="24"/>
        </w:rPr>
        <w:t xml:space="preserve"> protests. Ukraine </w:t>
      </w:r>
      <w:r w:rsidR="001F5858">
        <w:rPr>
          <w:rFonts w:ascii="Times New Roman" w:hAnsi="Times New Roman" w:cs="Times New Roman"/>
          <w:sz w:val="24"/>
          <w:szCs w:val="24"/>
        </w:rPr>
        <w:t xml:space="preserve">therefore </w:t>
      </w:r>
      <w:r w:rsidR="001B2E6A" w:rsidRPr="001B2E6A">
        <w:rPr>
          <w:rFonts w:ascii="Times New Roman" w:hAnsi="Times New Roman" w:cs="Times New Roman"/>
          <w:sz w:val="24"/>
          <w:szCs w:val="24"/>
        </w:rPr>
        <w:t>presents an example of public activism and calls for accountability that materialize</w:t>
      </w:r>
      <w:r w:rsidR="001F5858">
        <w:rPr>
          <w:rFonts w:ascii="Times New Roman" w:hAnsi="Times New Roman" w:cs="Times New Roman"/>
          <w:sz w:val="24"/>
          <w:szCs w:val="24"/>
        </w:rPr>
        <w:t>d</w:t>
      </w:r>
      <w:r w:rsidR="001B2E6A" w:rsidRPr="001B2E6A">
        <w:rPr>
          <w:rFonts w:ascii="Times New Roman" w:hAnsi="Times New Roman" w:cs="Times New Roman"/>
          <w:sz w:val="24"/>
          <w:szCs w:val="24"/>
        </w:rPr>
        <w:t xml:space="preserve"> into state-led transitional justice measures, something largely absent in the FSU. The bottom-up push for transitional justice is not without complications and potential rule of law derogations, something explored in </w:t>
      </w:r>
      <w:r w:rsidR="001B2E6A">
        <w:rPr>
          <w:rFonts w:ascii="Times New Roman" w:hAnsi="Times New Roman" w:cs="Times New Roman"/>
          <w:sz w:val="24"/>
          <w:szCs w:val="24"/>
        </w:rPr>
        <w:t xml:space="preserve">detail in </w:t>
      </w:r>
      <w:r w:rsidR="001B2E6A" w:rsidRPr="001B2E6A">
        <w:rPr>
          <w:rFonts w:ascii="Times New Roman" w:hAnsi="Times New Roman" w:cs="Times New Roman"/>
          <w:sz w:val="24"/>
          <w:szCs w:val="24"/>
        </w:rPr>
        <w:t>David’s chapter</w:t>
      </w:r>
      <w:r>
        <w:rPr>
          <w:rFonts w:ascii="Times New Roman" w:hAnsi="Times New Roman" w:cs="Times New Roman"/>
          <w:sz w:val="24"/>
          <w:szCs w:val="24"/>
        </w:rPr>
        <w:t xml:space="preserve"> as well</w:t>
      </w:r>
      <w:r w:rsidR="001B2E6A">
        <w:rPr>
          <w:rFonts w:ascii="Times New Roman" w:hAnsi="Times New Roman" w:cs="Times New Roman"/>
          <w:sz w:val="24"/>
          <w:szCs w:val="24"/>
        </w:rPr>
        <w:t>.</w:t>
      </w:r>
      <w:r w:rsidR="001B2E6A" w:rsidRPr="001B2E6A">
        <w:rPr>
          <w:rFonts w:ascii="Times New Roman" w:hAnsi="Times New Roman" w:cs="Times New Roman"/>
          <w:sz w:val="24"/>
          <w:szCs w:val="24"/>
        </w:rPr>
        <w:t xml:space="preserve"> David directly links lustration and democratization in his exploration of this controversial transitional justice</w:t>
      </w:r>
      <w:r w:rsidR="001F5858">
        <w:rPr>
          <w:rFonts w:ascii="Times New Roman" w:hAnsi="Times New Roman" w:cs="Times New Roman"/>
          <w:sz w:val="24"/>
          <w:szCs w:val="24"/>
        </w:rPr>
        <w:t xml:space="preserve"> method</w:t>
      </w:r>
      <w:r>
        <w:rPr>
          <w:rFonts w:ascii="Times New Roman" w:hAnsi="Times New Roman" w:cs="Times New Roman"/>
          <w:sz w:val="24"/>
          <w:szCs w:val="24"/>
        </w:rPr>
        <w:t>,</w:t>
      </w:r>
      <w:r w:rsidR="001B2E6A">
        <w:rPr>
          <w:rFonts w:ascii="Times New Roman" w:hAnsi="Times New Roman" w:cs="Times New Roman"/>
          <w:sz w:val="24"/>
          <w:szCs w:val="24"/>
        </w:rPr>
        <w:t xml:space="preserve"> as a means by which a democracy is capable of defending itself</w:t>
      </w:r>
      <w:r w:rsidR="001B2E6A" w:rsidRPr="001B2E6A">
        <w:rPr>
          <w:rFonts w:ascii="Times New Roman" w:hAnsi="Times New Roman" w:cs="Times New Roman"/>
          <w:sz w:val="24"/>
          <w:szCs w:val="24"/>
        </w:rPr>
        <w:t>.</w:t>
      </w:r>
    </w:p>
    <w:p w:rsidR="0029277E" w:rsidRDefault="0029277E" w:rsidP="007F7325">
      <w:pPr>
        <w:spacing w:after="0" w:line="480" w:lineRule="auto"/>
        <w:ind w:firstLine="720"/>
        <w:rPr>
          <w:rFonts w:ascii="Times New Roman" w:hAnsi="Times New Roman" w:cs="Times New Roman"/>
          <w:sz w:val="24"/>
          <w:szCs w:val="24"/>
        </w:rPr>
      </w:pPr>
      <w:proofErr w:type="spellStart"/>
      <w:r w:rsidRPr="002D4821">
        <w:rPr>
          <w:rFonts w:ascii="Times New Roman" w:hAnsi="Times New Roman" w:cs="Times New Roman"/>
          <w:sz w:val="24"/>
          <w:szCs w:val="24"/>
          <w:shd w:val="clear" w:color="auto" w:fill="FFFFFF"/>
        </w:rPr>
        <w:t>Violeta</w:t>
      </w:r>
      <w:proofErr w:type="spellEnd"/>
      <w:r w:rsidRPr="002D4821">
        <w:rPr>
          <w:rFonts w:ascii="Times New Roman" w:hAnsi="Times New Roman" w:cs="Times New Roman"/>
          <w:sz w:val="24"/>
          <w:szCs w:val="24"/>
          <w:shd w:val="clear" w:color="auto" w:fill="FFFFFF"/>
        </w:rPr>
        <w:t xml:space="preserve"> </w:t>
      </w:r>
      <w:proofErr w:type="spellStart"/>
      <w:r w:rsidRPr="002D4821">
        <w:rPr>
          <w:rFonts w:ascii="Times New Roman" w:hAnsi="Times New Roman" w:cs="Times New Roman"/>
          <w:sz w:val="24"/>
          <w:szCs w:val="24"/>
          <w:shd w:val="clear" w:color="auto" w:fill="FFFFFF"/>
        </w:rPr>
        <w:t>Davoliūtė</w:t>
      </w:r>
      <w:proofErr w:type="spellEnd"/>
      <w:r w:rsidR="007E10B7">
        <w:rPr>
          <w:rFonts w:ascii="Times New Roman" w:hAnsi="Times New Roman" w:cs="Times New Roman"/>
          <w:sz w:val="24"/>
          <w:szCs w:val="24"/>
          <w:shd w:val="clear" w:color="auto" w:fill="FFFFFF"/>
        </w:rPr>
        <w:t xml:space="preserve"> and </w:t>
      </w:r>
      <w:proofErr w:type="spellStart"/>
      <w:r w:rsidR="007E10B7" w:rsidRPr="002D4821">
        <w:rPr>
          <w:rFonts w:ascii="Times New Roman" w:hAnsi="Times New Roman" w:cs="Times New Roman"/>
          <w:sz w:val="24"/>
          <w:szCs w:val="24"/>
        </w:rPr>
        <w:t>Dovile</w:t>
      </w:r>
      <w:proofErr w:type="spellEnd"/>
      <w:r w:rsidR="007E10B7" w:rsidRPr="002D4821">
        <w:rPr>
          <w:rFonts w:ascii="Times New Roman" w:hAnsi="Times New Roman" w:cs="Times New Roman"/>
          <w:sz w:val="24"/>
          <w:szCs w:val="24"/>
        </w:rPr>
        <w:t xml:space="preserve"> </w:t>
      </w:r>
      <w:proofErr w:type="spellStart"/>
      <w:r w:rsidR="007E10B7" w:rsidRPr="002D4821">
        <w:rPr>
          <w:rFonts w:ascii="Times New Roman" w:hAnsi="Times New Roman" w:cs="Times New Roman"/>
          <w:sz w:val="24"/>
          <w:szCs w:val="24"/>
        </w:rPr>
        <w:t>Budryt</w:t>
      </w:r>
      <w:r w:rsidR="007E10B7" w:rsidRPr="002D4821">
        <w:rPr>
          <w:rFonts w:ascii="Times New Roman" w:hAnsi="Times New Roman" w:cs="Times New Roman"/>
          <w:sz w:val="24"/>
          <w:szCs w:val="24"/>
          <w:shd w:val="clear" w:color="auto" w:fill="FFFFFF"/>
        </w:rPr>
        <w:t>ė</w:t>
      </w:r>
      <w:r w:rsidRPr="002D4821">
        <w:rPr>
          <w:rFonts w:ascii="Times New Roman" w:hAnsi="Times New Roman" w:cs="Times New Roman"/>
          <w:sz w:val="24"/>
          <w:szCs w:val="24"/>
          <w:shd w:val="clear" w:color="auto" w:fill="FFFFFF"/>
        </w:rPr>
        <w:t>’s</w:t>
      </w:r>
      <w:proofErr w:type="spellEnd"/>
      <w:r w:rsidRPr="002D4821">
        <w:rPr>
          <w:rFonts w:ascii="Times New Roman" w:hAnsi="Times New Roman" w:cs="Times New Roman"/>
          <w:sz w:val="24"/>
          <w:szCs w:val="24"/>
          <w:shd w:val="clear" w:color="auto" w:fill="FFFFFF"/>
        </w:rPr>
        <w:t xml:space="preserve"> chapter “</w:t>
      </w:r>
      <w:r w:rsidR="00B4453B">
        <w:rPr>
          <w:rFonts w:ascii="Times New Roman" w:hAnsi="Times New Roman" w:cs="Times New Roman"/>
          <w:sz w:val="24"/>
          <w:szCs w:val="24"/>
          <w:shd w:val="clear" w:color="auto" w:fill="FFFFFF"/>
        </w:rPr>
        <w:t xml:space="preserve">Entangled History, History Education and Affective Communities in Lithuania,” </w:t>
      </w:r>
      <w:r w:rsidRPr="00AC1287">
        <w:rPr>
          <w:rFonts w:ascii="Times New Roman" w:hAnsi="Times New Roman" w:cs="Times New Roman"/>
          <w:sz w:val="24"/>
          <w:szCs w:val="24"/>
          <w:shd w:val="clear" w:color="auto" w:fill="FFFFFF"/>
        </w:rPr>
        <w:t xml:space="preserve">explores </w:t>
      </w:r>
      <w:r w:rsidR="007E10B7">
        <w:rPr>
          <w:rFonts w:ascii="Times New Roman" w:hAnsi="Times New Roman" w:cs="Times New Roman"/>
          <w:sz w:val="24"/>
          <w:szCs w:val="24"/>
          <w:shd w:val="clear" w:color="auto" w:fill="FFFFFF"/>
        </w:rPr>
        <w:t xml:space="preserve">Lithuania’s changing perspective on how to address its </w:t>
      </w:r>
      <w:r w:rsidRPr="00AC1287">
        <w:rPr>
          <w:rFonts w:ascii="Times New Roman" w:hAnsi="Times New Roman" w:cs="Times New Roman"/>
          <w:sz w:val="24"/>
          <w:szCs w:val="24"/>
          <w:shd w:val="clear" w:color="auto" w:fill="FFFFFF"/>
        </w:rPr>
        <w:t>layered past</w:t>
      </w:r>
      <w:r w:rsidR="001B2E6A">
        <w:rPr>
          <w:rFonts w:ascii="Times New Roman" w:hAnsi="Times New Roman" w:cs="Times New Roman"/>
          <w:sz w:val="24"/>
          <w:szCs w:val="24"/>
          <w:shd w:val="clear" w:color="auto" w:fill="FFFFFF"/>
        </w:rPr>
        <w:t>s</w:t>
      </w:r>
      <w:r w:rsidR="00FE375E">
        <w:rPr>
          <w:rFonts w:ascii="Times New Roman" w:hAnsi="Times New Roman" w:cs="Times New Roman"/>
          <w:sz w:val="24"/>
          <w:szCs w:val="24"/>
          <w:shd w:val="clear" w:color="auto" w:fill="FFFFFF"/>
        </w:rPr>
        <w:t>, namely Holocaust</w:t>
      </w:r>
      <w:r w:rsidR="001F5858">
        <w:rPr>
          <w:rFonts w:ascii="Times New Roman" w:hAnsi="Times New Roman" w:cs="Times New Roman"/>
          <w:sz w:val="24"/>
          <w:szCs w:val="24"/>
          <w:shd w:val="clear" w:color="auto" w:fill="FFFFFF"/>
        </w:rPr>
        <w:t>-</w:t>
      </w:r>
      <w:r w:rsidR="00FE375E">
        <w:rPr>
          <w:rFonts w:ascii="Times New Roman" w:hAnsi="Times New Roman" w:cs="Times New Roman"/>
          <w:sz w:val="24"/>
          <w:szCs w:val="24"/>
          <w:shd w:val="clear" w:color="auto" w:fill="FFFFFF"/>
        </w:rPr>
        <w:t xml:space="preserve">related </w:t>
      </w:r>
      <w:r w:rsidR="006052F6">
        <w:rPr>
          <w:rFonts w:ascii="Times New Roman" w:hAnsi="Times New Roman" w:cs="Times New Roman"/>
          <w:sz w:val="24"/>
          <w:szCs w:val="24"/>
          <w:shd w:val="clear" w:color="auto" w:fill="FFFFFF"/>
        </w:rPr>
        <w:t>human rights abuses</w:t>
      </w:r>
      <w:r w:rsidR="00FE375E">
        <w:rPr>
          <w:rFonts w:ascii="Times New Roman" w:hAnsi="Times New Roman" w:cs="Times New Roman"/>
          <w:sz w:val="24"/>
          <w:szCs w:val="24"/>
          <w:shd w:val="clear" w:color="auto" w:fill="FFFFFF"/>
        </w:rPr>
        <w:t xml:space="preserve"> and abuses committed under Stalinism</w:t>
      </w:r>
      <w:r w:rsidR="007E10B7">
        <w:rPr>
          <w:rFonts w:ascii="Times New Roman" w:hAnsi="Times New Roman" w:cs="Times New Roman"/>
          <w:sz w:val="24"/>
          <w:szCs w:val="24"/>
          <w:shd w:val="clear" w:color="auto" w:fill="FFFFFF"/>
        </w:rPr>
        <w:t xml:space="preserve">. </w:t>
      </w:r>
      <w:r w:rsidR="00E22F87">
        <w:rPr>
          <w:rFonts w:ascii="Times New Roman" w:hAnsi="Times New Roman" w:cs="Times New Roman"/>
          <w:sz w:val="24"/>
          <w:szCs w:val="24"/>
          <w:shd w:val="clear" w:color="auto" w:fill="FFFFFF"/>
        </w:rPr>
        <w:t>In particular</w:t>
      </w:r>
      <w:r w:rsidR="001F5858">
        <w:rPr>
          <w:rFonts w:ascii="Times New Roman" w:hAnsi="Times New Roman" w:cs="Times New Roman"/>
          <w:sz w:val="24"/>
          <w:szCs w:val="24"/>
          <w:shd w:val="clear" w:color="auto" w:fill="FFFFFF"/>
        </w:rPr>
        <w:t>,</w:t>
      </w:r>
      <w:r w:rsidR="00E22F87">
        <w:rPr>
          <w:rFonts w:ascii="Times New Roman" w:hAnsi="Times New Roman" w:cs="Times New Roman"/>
          <w:sz w:val="24"/>
          <w:szCs w:val="24"/>
          <w:shd w:val="clear" w:color="auto" w:fill="FFFFFF"/>
        </w:rPr>
        <w:t xml:space="preserve"> t</w:t>
      </w:r>
      <w:r w:rsidRPr="00AC1287">
        <w:rPr>
          <w:rFonts w:ascii="Times New Roman" w:hAnsi="Times New Roman" w:cs="Times New Roman"/>
          <w:color w:val="000000"/>
          <w:sz w:val="24"/>
          <w:szCs w:val="24"/>
        </w:rPr>
        <w:t xml:space="preserve">hey </w:t>
      </w:r>
      <w:r w:rsidR="00E22F87">
        <w:rPr>
          <w:rFonts w:ascii="Times New Roman" w:hAnsi="Times New Roman" w:cs="Times New Roman"/>
          <w:color w:val="000000"/>
          <w:sz w:val="24"/>
          <w:szCs w:val="24"/>
        </w:rPr>
        <w:t>focus</w:t>
      </w:r>
      <w:r w:rsidRPr="00AC1287">
        <w:rPr>
          <w:rFonts w:ascii="Times New Roman" w:hAnsi="Times New Roman" w:cs="Times New Roman"/>
          <w:color w:val="000000"/>
          <w:sz w:val="24"/>
          <w:szCs w:val="24"/>
        </w:rPr>
        <w:t xml:space="preserve"> on the use of history textbooks and public reeducation as both transitional justice measures and arenas for memory politics.</w:t>
      </w:r>
      <w:r w:rsidRPr="00AC1287">
        <w:rPr>
          <w:rFonts w:ascii="Times New Roman" w:hAnsi="Times New Roman" w:cs="Times New Roman"/>
          <w:sz w:val="24"/>
          <w:szCs w:val="24"/>
        </w:rPr>
        <w:t xml:space="preserve"> By exploring how some memories</w:t>
      </w:r>
      <w:r w:rsidR="00FD2918">
        <w:rPr>
          <w:rFonts w:ascii="Times New Roman" w:hAnsi="Times New Roman" w:cs="Times New Roman"/>
          <w:sz w:val="24"/>
          <w:szCs w:val="24"/>
        </w:rPr>
        <w:t xml:space="preserve"> and atrocities</w:t>
      </w:r>
      <w:r w:rsidRPr="00AC1287">
        <w:rPr>
          <w:rFonts w:ascii="Times New Roman" w:hAnsi="Times New Roman" w:cs="Times New Roman"/>
          <w:sz w:val="24"/>
          <w:szCs w:val="24"/>
        </w:rPr>
        <w:t xml:space="preserve"> are privileged over other memories, they are able to shed light on the politicization of </w:t>
      </w:r>
      <w:r w:rsidR="00391E82">
        <w:rPr>
          <w:rFonts w:ascii="Times New Roman" w:hAnsi="Times New Roman" w:cs="Times New Roman"/>
          <w:sz w:val="24"/>
          <w:szCs w:val="24"/>
        </w:rPr>
        <w:t>certain</w:t>
      </w:r>
      <w:r w:rsidRPr="00AC1287">
        <w:rPr>
          <w:rFonts w:ascii="Times New Roman" w:hAnsi="Times New Roman" w:cs="Times New Roman"/>
          <w:sz w:val="24"/>
          <w:szCs w:val="24"/>
        </w:rPr>
        <w:t xml:space="preserve"> </w:t>
      </w:r>
      <w:r w:rsidR="00FD2918">
        <w:rPr>
          <w:rFonts w:ascii="Times New Roman" w:hAnsi="Times New Roman" w:cs="Times New Roman"/>
          <w:sz w:val="24"/>
          <w:szCs w:val="24"/>
        </w:rPr>
        <w:t xml:space="preserve">historical </w:t>
      </w:r>
      <w:r w:rsidRPr="00AC1287">
        <w:rPr>
          <w:rFonts w:ascii="Times New Roman" w:hAnsi="Times New Roman" w:cs="Times New Roman"/>
          <w:sz w:val="24"/>
          <w:szCs w:val="24"/>
        </w:rPr>
        <w:t xml:space="preserve">events and the silencing </w:t>
      </w:r>
      <w:r w:rsidR="00391E82">
        <w:rPr>
          <w:rFonts w:ascii="Times New Roman" w:hAnsi="Times New Roman" w:cs="Times New Roman"/>
          <w:sz w:val="24"/>
          <w:szCs w:val="24"/>
        </w:rPr>
        <w:t>of others</w:t>
      </w:r>
      <w:r w:rsidRPr="00AC1287">
        <w:rPr>
          <w:rFonts w:ascii="Times New Roman" w:hAnsi="Times New Roman" w:cs="Times New Roman"/>
          <w:sz w:val="24"/>
          <w:szCs w:val="24"/>
        </w:rPr>
        <w:t>. In environments with such layered abuses</w:t>
      </w:r>
      <w:r w:rsidR="00391E82">
        <w:rPr>
          <w:rFonts w:ascii="Times New Roman" w:hAnsi="Times New Roman" w:cs="Times New Roman"/>
          <w:sz w:val="24"/>
          <w:szCs w:val="24"/>
        </w:rPr>
        <w:t>, they show how these layered abuses are in</w:t>
      </w:r>
      <w:r w:rsidR="00E22F87">
        <w:rPr>
          <w:rFonts w:ascii="Times New Roman" w:hAnsi="Times New Roman" w:cs="Times New Roman"/>
          <w:sz w:val="24"/>
          <w:szCs w:val="24"/>
        </w:rPr>
        <w:t xml:space="preserve"> many ways related to each other</w:t>
      </w:r>
      <w:r w:rsidRPr="00AC1287">
        <w:rPr>
          <w:rFonts w:ascii="Times New Roman" w:hAnsi="Times New Roman" w:cs="Times New Roman"/>
          <w:sz w:val="24"/>
          <w:szCs w:val="24"/>
        </w:rPr>
        <w:t xml:space="preserve">, </w:t>
      </w:r>
      <w:r w:rsidR="00391E82">
        <w:rPr>
          <w:rFonts w:ascii="Times New Roman" w:hAnsi="Times New Roman" w:cs="Times New Roman"/>
          <w:sz w:val="24"/>
          <w:szCs w:val="24"/>
        </w:rPr>
        <w:t xml:space="preserve">and therefore </w:t>
      </w:r>
      <w:r w:rsidR="00E22F87">
        <w:rPr>
          <w:rFonts w:ascii="Times New Roman" w:hAnsi="Times New Roman" w:cs="Times New Roman"/>
          <w:sz w:val="24"/>
          <w:szCs w:val="24"/>
        </w:rPr>
        <w:t>selectively engaging with some human rights abuses and ignoring others creates a problematic approach to transitional justice</w:t>
      </w:r>
      <w:r w:rsidRPr="00AC1287">
        <w:rPr>
          <w:rFonts w:ascii="Times New Roman" w:hAnsi="Times New Roman" w:cs="Times New Roman"/>
          <w:sz w:val="24"/>
          <w:szCs w:val="24"/>
        </w:rPr>
        <w:t>.</w:t>
      </w:r>
      <w:r>
        <w:rPr>
          <w:rFonts w:ascii="Times New Roman" w:hAnsi="Times New Roman" w:cs="Times New Roman"/>
          <w:sz w:val="24"/>
          <w:szCs w:val="24"/>
        </w:rPr>
        <w:t xml:space="preserve"> </w:t>
      </w:r>
      <w:r w:rsidR="00E22F87">
        <w:rPr>
          <w:rFonts w:ascii="Times New Roman" w:hAnsi="Times New Roman" w:cs="Times New Roman"/>
          <w:color w:val="000000"/>
          <w:sz w:val="24"/>
          <w:szCs w:val="24"/>
        </w:rPr>
        <w:t>By comparing</w:t>
      </w:r>
      <w:r w:rsidR="00E22F87" w:rsidRPr="00AC1287">
        <w:rPr>
          <w:rFonts w:ascii="Times New Roman" w:hAnsi="Times New Roman" w:cs="Times New Roman"/>
          <w:color w:val="000000"/>
          <w:sz w:val="24"/>
          <w:szCs w:val="24"/>
        </w:rPr>
        <w:t xml:space="preserve"> the </w:t>
      </w:r>
      <w:r w:rsidR="00E22F87">
        <w:rPr>
          <w:rFonts w:ascii="Times New Roman" w:hAnsi="Times New Roman" w:cs="Times New Roman"/>
          <w:color w:val="000000"/>
          <w:sz w:val="24"/>
          <w:szCs w:val="24"/>
        </w:rPr>
        <w:t xml:space="preserve">efforts </w:t>
      </w:r>
      <w:r w:rsidR="00E22F87" w:rsidRPr="00AC1287">
        <w:rPr>
          <w:rFonts w:ascii="Times New Roman" w:hAnsi="Times New Roman" w:cs="Times New Roman"/>
          <w:color w:val="000000"/>
          <w:sz w:val="24"/>
          <w:szCs w:val="24"/>
        </w:rPr>
        <w:t>of two transitional justice institutions involved in history education in post-Soviet Lithuania</w:t>
      </w:r>
      <w:r w:rsidR="00E22F87">
        <w:rPr>
          <w:rFonts w:ascii="Times New Roman" w:hAnsi="Times New Roman" w:cs="Times New Roman"/>
          <w:color w:val="000000"/>
          <w:sz w:val="24"/>
          <w:szCs w:val="24"/>
        </w:rPr>
        <w:t xml:space="preserve"> with </w:t>
      </w:r>
      <w:r w:rsidR="00391E82">
        <w:rPr>
          <w:rFonts w:ascii="Times New Roman" w:hAnsi="Times New Roman" w:cs="Times New Roman"/>
          <w:color w:val="000000"/>
          <w:sz w:val="24"/>
          <w:szCs w:val="24"/>
        </w:rPr>
        <w:t xml:space="preserve">the </w:t>
      </w:r>
      <w:r w:rsidR="00E22F87">
        <w:rPr>
          <w:rFonts w:ascii="Times New Roman" w:hAnsi="Times New Roman" w:cs="Times New Roman"/>
          <w:color w:val="000000"/>
          <w:sz w:val="24"/>
          <w:szCs w:val="24"/>
        </w:rPr>
        <w:t>efforts of other civil society agents</w:t>
      </w:r>
      <w:r w:rsidR="00391E82">
        <w:rPr>
          <w:rFonts w:ascii="Times New Roman" w:hAnsi="Times New Roman" w:cs="Times New Roman"/>
          <w:color w:val="000000"/>
          <w:sz w:val="24"/>
          <w:szCs w:val="24"/>
        </w:rPr>
        <w:t>, they explicate how</w:t>
      </w:r>
      <w:r w:rsidR="00E22F87">
        <w:rPr>
          <w:rFonts w:ascii="Times New Roman" w:hAnsi="Times New Roman" w:cs="Times New Roman"/>
          <w:color w:val="000000"/>
          <w:sz w:val="24"/>
          <w:szCs w:val="24"/>
        </w:rPr>
        <w:t xml:space="preserve"> affective communities </w:t>
      </w:r>
      <w:r w:rsidR="00391E82">
        <w:rPr>
          <w:rFonts w:ascii="Times New Roman" w:hAnsi="Times New Roman" w:cs="Times New Roman"/>
          <w:color w:val="000000"/>
          <w:sz w:val="24"/>
          <w:szCs w:val="24"/>
        </w:rPr>
        <w:t xml:space="preserve">developed </w:t>
      </w:r>
      <w:r w:rsidR="00E22F87">
        <w:rPr>
          <w:rFonts w:ascii="Times New Roman" w:hAnsi="Times New Roman" w:cs="Times New Roman"/>
          <w:color w:val="000000"/>
          <w:sz w:val="24"/>
          <w:szCs w:val="24"/>
        </w:rPr>
        <w:t xml:space="preserve">around acknowledgement </w:t>
      </w:r>
      <w:r w:rsidR="00E22F87">
        <w:rPr>
          <w:rFonts w:ascii="Times New Roman" w:hAnsi="Times New Roman" w:cs="Times New Roman"/>
          <w:color w:val="000000"/>
          <w:sz w:val="24"/>
          <w:szCs w:val="24"/>
        </w:rPr>
        <w:lastRenderedPageBreak/>
        <w:t>and accountability for Lithuania’s treatment of its Jewish citizens at the hands of</w:t>
      </w:r>
      <w:r w:rsidR="00391E82">
        <w:rPr>
          <w:rFonts w:ascii="Times New Roman" w:hAnsi="Times New Roman" w:cs="Times New Roman"/>
          <w:color w:val="000000"/>
          <w:sz w:val="24"/>
          <w:szCs w:val="24"/>
        </w:rPr>
        <w:t xml:space="preserve"> fellow Lithuanians during W</w:t>
      </w:r>
      <w:r w:rsidR="009441CA">
        <w:rPr>
          <w:rFonts w:ascii="Times New Roman" w:hAnsi="Times New Roman" w:cs="Times New Roman"/>
          <w:color w:val="000000"/>
          <w:sz w:val="24"/>
          <w:szCs w:val="24"/>
        </w:rPr>
        <w:t xml:space="preserve">orld </w:t>
      </w:r>
      <w:r w:rsidR="00391E82">
        <w:rPr>
          <w:rFonts w:ascii="Times New Roman" w:hAnsi="Times New Roman" w:cs="Times New Roman"/>
          <w:color w:val="000000"/>
          <w:sz w:val="24"/>
          <w:szCs w:val="24"/>
        </w:rPr>
        <w:t>W</w:t>
      </w:r>
      <w:r w:rsidR="009441CA">
        <w:rPr>
          <w:rFonts w:ascii="Times New Roman" w:hAnsi="Times New Roman" w:cs="Times New Roman"/>
          <w:color w:val="000000"/>
          <w:sz w:val="24"/>
          <w:szCs w:val="24"/>
        </w:rPr>
        <w:t xml:space="preserve">ar </w:t>
      </w:r>
      <w:r w:rsidR="00391E82">
        <w:rPr>
          <w:rFonts w:ascii="Times New Roman" w:hAnsi="Times New Roman" w:cs="Times New Roman"/>
          <w:color w:val="000000"/>
          <w:sz w:val="24"/>
          <w:szCs w:val="24"/>
        </w:rPr>
        <w:t xml:space="preserve">II. </w:t>
      </w:r>
      <w:r w:rsidR="009441CA">
        <w:rPr>
          <w:rFonts w:ascii="Times New Roman" w:hAnsi="Times New Roman" w:cs="Times New Roman"/>
          <w:color w:val="000000"/>
          <w:sz w:val="24"/>
          <w:szCs w:val="24"/>
        </w:rPr>
        <w:t>T</w:t>
      </w:r>
      <w:r w:rsidR="00391E82">
        <w:rPr>
          <w:rFonts w:ascii="Times New Roman" w:hAnsi="Times New Roman" w:cs="Times New Roman"/>
          <w:color w:val="000000"/>
          <w:sz w:val="24"/>
          <w:szCs w:val="24"/>
        </w:rPr>
        <w:t>heir chapter</w:t>
      </w:r>
      <w:r w:rsidR="00E22F87">
        <w:rPr>
          <w:rFonts w:ascii="Times New Roman" w:hAnsi="Times New Roman" w:cs="Times New Roman"/>
          <w:color w:val="000000"/>
          <w:sz w:val="24"/>
          <w:szCs w:val="24"/>
        </w:rPr>
        <w:t xml:space="preserve"> </w:t>
      </w:r>
      <w:r w:rsidR="009441CA">
        <w:rPr>
          <w:rFonts w:ascii="Times New Roman" w:hAnsi="Times New Roman" w:cs="Times New Roman"/>
          <w:color w:val="000000"/>
          <w:sz w:val="24"/>
          <w:szCs w:val="24"/>
        </w:rPr>
        <w:t xml:space="preserve">thus </w:t>
      </w:r>
      <w:r w:rsidR="00E22F87">
        <w:rPr>
          <w:rFonts w:ascii="Times New Roman" w:hAnsi="Times New Roman" w:cs="Times New Roman"/>
          <w:color w:val="000000"/>
          <w:sz w:val="24"/>
          <w:szCs w:val="24"/>
        </w:rPr>
        <w:t>engage</w:t>
      </w:r>
      <w:r w:rsidR="00391E82">
        <w:rPr>
          <w:rFonts w:ascii="Times New Roman" w:hAnsi="Times New Roman" w:cs="Times New Roman"/>
          <w:color w:val="000000"/>
          <w:sz w:val="24"/>
          <w:szCs w:val="24"/>
        </w:rPr>
        <w:t>s</w:t>
      </w:r>
      <w:r w:rsidR="00E22F87">
        <w:rPr>
          <w:rFonts w:ascii="Times New Roman" w:hAnsi="Times New Roman" w:cs="Times New Roman"/>
          <w:color w:val="000000"/>
          <w:sz w:val="24"/>
          <w:szCs w:val="24"/>
        </w:rPr>
        <w:t xml:space="preserve"> aspects of complicity faced by many other FSU states in their transitional justice needs</w:t>
      </w:r>
      <w:r w:rsidR="009441CA">
        <w:rPr>
          <w:rFonts w:ascii="Times New Roman" w:hAnsi="Times New Roman" w:cs="Times New Roman"/>
          <w:color w:val="000000"/>
          <w:sz w:val="24"/>
          <w:szCs w:val="24"/>
        </w:rPr>
        <w:t>,</w:t>
      </w:r>
      <w:r w:rsidR="00391E82">
        <w:rPr>
          <w:rFonts w:ascii="Times New Roman" w:hAnsi="Times New Roman" w:cs="Times New Roman"/>
          <w:color w:val="000000"/>
          <w:sz w:val="24"/>
          <w:szCs w:val="24"/>
        </w:rPr>
        <w:t xml:space="preserve"> topics also examined in chapters by Horne and Kramer</w:t>
      </w:r>
      <w:r w:rsidR="00E22F87">
        <w:rPr>
          <w:rFonts w:ascii="Times New Roman" w:hAnsi="Times New Roman" w:cs="Times New Roman"/>
          <w:color w:val="000000"/>
          <w:sz w:val="24"/>
          <w:szCs w:val="24"/>
        </w:rPr>
        <w:t>.</w:t>
      </w:r>
    </w:p>
    <w:p w:rsidR="00E435F2" w:rsidRPr="00E435F2" w:rsidRDefault="00E435F2" w:rsidP="007F7325">
      <w:pPr>
        <w:autoSpaceDE w:val="0"/>
        <w:autoSpaceDN w:val="0"/>
        <w:adjustRightInd w:val="0"/>
        <w:spacing w:after="0" w:line="480" w:lineRule="auto"/>
        <w:ind w:firstLine="720"/>
        <w:rPr>
          <w:rFonts w:ascii="Times New Roman" w:hAnsi="Times New Roman" w:cs="Times New Roman"/>
          <w:color w:val="000000"/>
          <w:sz w:val="24"/>
          <w:szCs w:val="24"/>
        </w:rPr>
      </w:pPr>
      <w:proofErr w:type="spellStart"/>
      <w:r w:rsidRPr="005242EB">
        <w:rPr>
          <w:rFonts w:ascii="Times New Roman" w:hAnsi="Times New Roman" w:cs="Times New Roman"/>
          <w:color w:val="000000"/>
          <w:sz w:val="24"/>
          <w:szCs w:val="24"/>
        </w:rPr>
        <w:t>Oana-Valentina</w:t>
      </w:r>
      <w:proofErr w:type="spellEnd"/>
      <w:r w:rsidRPr="005242EB">
        <w:rPr>
          <w:rFonts w:ascii="Times New Roman" w:hAnsi="Times New Roman" w:cs="Times New Roman"/>
          <w:color w:val="000000"/>
          <w:sz w:val="24"/>
          <w:szCs w:val="24"/>
        </w:rPr>
        <w:t xml:space="preserve"> </w:t>
      </w:r>
      <w:proofErr w:type="spellStart"/>
      <w:r w:rsidRPr="005242EB">
        <w:rPr>
          <w:rFonts w:ascii="Times New Roman" w:hAnsi="Times New Roman" w:cs="Times New Roman"/>
          <w:color w:val="000000"/>
          <w:sz w:val="24"/>
          <w:szCs w:val="24"/>
        </w:rPr>
        <w:t>Suciu’s</w:t>
      </w:r>
      <w:proofErr w:type="spellEnd"/>
      <w:r w:rsidRPr="005242EB">
        <w:rPr>
          <w:rFonts w:ascii="Times New Roman" w:hAnsi="Times New Roman" w:cs="Times New Roman"/>
          <w:color w:val="000000"/>
          <w:sz w:val="24"/>
          <w:szCs w:val="24"/>
        </w:rPr>
        <w:t xml:space="preserve"> chapter, “Confronting Multiple Pasts in Post-Soviet Armenia</w:t>
      </w:r>
      <w:r w:rsidR="00AA3E09">
        <w:rPr>
          <w:rFonts w:ascii="Times New Roman" w:hAnsi="Times New Roman" w:cs="Times New Roman"/>
          <w:color w:val="000000"/>
          <w:sz w:val="24"/>
          <w:szCs w:val="24"/>
        </w:rPr>
        <w:t>,</w:t>
      </w:r>
      <w:r w:rsidRPr="005242EB">
        <w:rPr>
          <w:rFonts w:ascii="Times New Roman" w:hAnsi="Times New Roman" w:cs="Times New Roman"/>
          <w:color w:val="000000"/>
          <w:sz w:val="24"/>
          <w:szCs w:val="24"/>
        </w:rPr>
        <w:t>” presents layers of unresolved and unaddressed war atrocities,</w:t>
      </w:r>
      <w:r w:rsidRPr="005242EB">
        <w:rPr>
          <w:rFonts w:ascii="Times New Roman" w:hAnsi="Times New Roman" w:cs="Times New Roman"/>
          <w:sz w:val="24"/>
          <w:szCs w:val="24"/>
        </w:rPr>
        <w:t xml:space="preserve"> dating back as far as the 1800s, which affect Armenia’s current attitudes toward transitional justice as well as its post-communist democratization efforts. </w:t>
      </w:r>
      <w:proofErr w:type="spellStart"/>
      <w:r w:rsidRPr="005242EB">
        <w:rPr>
          <w:rFonts w:ascii="Times New Roman" w:hAnsi="Times New Roman" w:cs="Times New Roman"/>
          <w:sz w:val="24"/>
          <w:szCs w:val="24"/>
        </w:rPr>
        <w:t>Suciu</w:t>
      </w:r>
      <w:proofErr w:type="spellEnd"/>
      <w:r w:rsidRPr="005242EB">
        <w:rPr>
          <w:rFonts w:ascii="Times New Roman" w:hAnsi="Times New Roman" w:cs="Times New Roman"/>
          <w:sz w:val="24"/>
          <w:szCs w:val="24"/>
        </w:rPr>
        <w:t xml:space="preserve"> describes the Armenian case as </w:t>
      </w:r>
      <w:r>
        <w:rPr>
          <w:rFonts w:ascii="Times New Roman" w:hAnsi="Times New Roman" w:cs="Times New Roman"/>
          <w:sz w:val="24"/>
          <w:szCs w:val="24"/>
        </w:rPr>
        <w:t xml:space="preserve">a type of </w:t>
      </w:r>
      <w:r w:rsidRPr="005242EB">
        <w:rPr>
          <w:rFonts w:ascii="Times New Roman" w:hAnsi="Times New Roman" w:cs="Times New Roman"/>
          <w:sz w:val="24"/>
          <w:szCs w:val="24"/>
        </w:rPr>
        <w:t xml:space="preserve">Russian </w:t>
      </w:r>
      <w:proofErr w:type="spellStart"/>
      <w:r w:rsidRPr="005242EB">
        <w:rPr>
          <w:rFonts w:ascii="Times New Roman" w:hAnsi="Times New Roman" w:cs="Times New Roman"/>
          <w:sz w:val="24"/>
          <w:szCs w:val="24"/>
        </w:rPr>
        <w:t>matryoshka</w:t>
      </w:r>
      <w:proofErr w:type="spellEnd"/>
      <w:r w:rsidRPr="005242EB">
        <w:rPr>
          <w:rFonts w:ascii="Times New Roman" w:hAnsi="Times New Roman" w:cs="Times New Roman"/>
          <w:sz w:val="24"/>
          <w:szCs w:val="24"/>
        </w:rPr>
        <w:t xml:space="preserve"> nesting </w:t>
      </w:r>
      <w:r>
        <w:rPr>
          <w:rFonts w:ascii="Times New Roman" w:hAnsi="Times New Roman" w:cs="Times New Roman"/>
          <w:sz w:val="24"/>
          <w:szCs w:val="24"/>
        </w:rPr>
        <w:t>doll</w:t>
      </w:r>
      <w:r w:rsidR="007F7325">
        <w:rPr>
          <w:rFonts w:ascii="Times New Roman" w:hAnsi="Times New Roman" w:cs="Times New Roman"/>
          <w:sz w:val="24"/>
          <w:szCs w:val="24"/>
        </w:rPr>
        <w:t xml:space="preserve">s of multiple competing pasts. </w:t>
      </w:r>
      <w:r w:rsidRPr="005242EB">
        <w:rPr>
          <w:rFonts w:ascii="Times New Roman" w:hAnsi="Times New Roman" w:cs="Times New Roman"/>
          <w:sz w:val="24"/>
          <w:szCs w:val="24"/>
        </w:rPr>
        <w:t xml:space="preserve">This visual </w:t>
      </w:r>
      <w:r>
        <w:rPr>
          <w:rFonts w:ascii="Times New Roman" w:hAnsi="Times New Roman" w:cs="Times New Roman"/>
          <w:sz w:val="24"/>
          <w:szCs w:val="24"/>
        </w:rPr>
        <w:t xml:space="preserve">nicely illustrates </w:t>
      </w:r>
      <w:r w:rsidRPr="005242EB">
        <w:rPr>
          <w:rFonts w:ascii="Times New Roman" w:hAnsi="Times New Roman" w:cs="Times New Roman"/>
          <w:sz w:val="24"/>
          <w:szCs w:val="24"/>
        </w:rPr>
        <w:t>the long shad</w:t>
      </w:r>
      <w:r>
        <w:rPr>
          <w:rFonts w:ascii="Times New Roman" w:hAnsi="Times New Roman" w:cs="Times New Roman"/>
          <w:sz w:val="24"/>
          <w:szCs w:val="24"/>
        </w:rPr>
        <w:t>ow of the past on present state-</w:t>
      </w:r>
      <w:r w:rsidRPr="005242EB">
        <w:rPr>
          <w:rFonts w:ascii="Times New Roman" w:hAnsi="Times New Roman" w:cs="Times New Roman"/>
          <w:sz w:val="24"/>
          <w:szCs w:val="24"/>
        </w:rPr>
        <w:t>building and societal reconciliation</w:t>
      </w:r>
      <w:r>
        <w:rPr>
          <w:rFonts w:ascii="Times New Roman" w:hAnsi="Times New Roman" w:cs="Times New Roman"/>
          <w:sz w:val="24"/>
          <w:szCs w:val="24"/>
        </w:rPr>
        <w:t xml:space="preserve"> efforts</w:t>
      </w:r>
      <w:r w:rsidR="007F7325">
        <w:rPr>
          <w:rFonts w:ascii="Times New Roman" w:hAnsi="Times New Roman" w:cs="Times New Roman"/>
          <w:sz w:val="24"/>
          <w:szCs w:val="24"/>
        </w:rPr>
        <w:t>.</w:t>
      </w:r>
      <w:r w:rsidRPr="005242EB">
        <w:rPr>
          <w:rFonts w:ascii="Times New Roman" w:hAnsi="Times New Roman" w:cs="Times New Roman"/>
          <w:sz w:val="24"/>
          <w:szCs w:val="24"/>
        </w:rPr>
        <w:t xml:space="preserve"> In particular, </w:t>
      </w:r>
      <w:proofErr w:type="spellStart"/>
      <w:r w:rsidRPr="005242EB">
        <w:rPr>
          <w:rFonts w:ascii="Times New Roman" w:hAnsi="Times New Roman" w:cs="Times New Roman"/>
          <w:sz w:val="24"/>
          <w:szCs w:val="24"/>
        </w:rPr>
        <w:t>Suciu</w:t>
      </w:r>
      <w:proofErr w:type="spellEnd"/>
      <w:r w:rsidRPr="005242EB">
        <w:rPr>
          <w:rFonts w:ascii="Times New Roman" w:hAnsi="Times New Roman" w:cs="Times New Roman"/>
          <w:sz w:val="24"/>
          <w:szCs w:val="24"/>
        </w:rPr>
        <w:t xml:space="preserve"> examines the 1915 Genocide perpetrated by the Ottoman Empire, the legacies of Stalinist purges, the on-going conflict in Nagorno-Karabakh with Azerbaijan, and post-communist abuses</w:t>
      </w:r>
      <w:r>
        <w:rPr>
          <w:rFonts w:ascii="Times New Roman" w:hAnsi="Times New Roman" w:cs="Times New Roman"/>
          <w:sz w:val="24"/>
          <w:szCs w:val="24"/>
        </w:rPr>
        <w:t>, in order</w:t>
      </w:r>
      <w:r w:rsidRPr="005242EB">
        <w:rPr>
          <w:rFonts w:ascii="Times New Roman" w:hAnsi="Times New Roman" w:cs="Times New Roman"/>
          <w:sz w:val="24"/>
          <w:szCs w:val="24"/>
        </w:rPr>
        <w:t xml:space="preserve"> to present a complic</w:t>
      </w:r>
      <w:r>
        <w:rPr>
          <w:rFonts w:ascii="Times New Roman" w:hAnsi="Times New Roman" w:cs="Times New Roman"/>
          <w:sz w:val="24"/>
          <w:szCs w:val="24"/>
        </w:rPr>
        <w:t xml:space="preserve">ated story of nested and overlapping </w:t>
      </w:r>
      <w:r w:rsidRPr="005242EB">
        <w:rPr>
          <w:rFonts w:ascii="Times New Roman" w:hAnsi="Times New Roman" w:cs="Times New Roman"/>
          <w:sz w:val="24"/>
          <w:szCs w:val="24"/>
        </w:rPr>
        <w:t xml:space="preserve">rights’ abuses. </w:t>
      </w:r>
      <w:proofErr w:type="spellStart"/>
      <w:r>
        <w:rPr>
          <w:rFonts w:ascii="Times New Roman" w:hAnsi="Times New Roman" w:cs="Times New Roman"/>
          <w:sz w:val="24"/>
          <w:szCs w:val="24"/>
        </w:rPr>
        <w:t>Sucui</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illustrates how Armenian</w:t>
      </w:r>
      <w:r w:rsidRPr="007A0D7B">
        <w:rPr>
          <w:rFonts w:ascii="Times New Roman" w:hAnsi="Times New Roman" w:cs="Times New Roman"/>
          <w:color w:val="000000"/>
          <w:sz w:val="24"/>
          <w:szCs w:val="24"/>
        </w:rPr>
        <w:t xml:space="preserve"> national history </w:t>
      </w:r>
      <w:r>
        <w:rPr>
          <w:rFonts w:ascii="Times New Roman" w:hAnsi="Times New Roman" w:cs="Times New Roman"/>
          <w:color w:val="000000"/>
          <w:sz w:val="24"/>
          <w:szCs w:val="24"/>
        </w:rPr>
        <w:t>and</w:t>
      </w:r>
      <w:r w:rsidRPr="007A0D7B">
        <w:rPr>
          <w:rFonts w:ascii="Times New Roman" w:hAnsi="Times New Roman" w:cs="Times New Roman"/>
          <w:color w:val="000000"/>
          <w:sz w:val="24"/>
          <w:szCs w:val="24"/>
        </w:rPr>
        <w:t xml:space="preserve"> current </w:t>
      </w:r>
      <w:r>
        <w:rPr>
          <w:rFonts w:ascii="Times New Roman" w:hAnsi="Times New Roman" w:cs="Times New Roman"/>
          <w:color w:val="000000"/>
          <w:sz w:val="24"/>
          <w:szCs w:val="24"/>
        </w:rPr>
        <w:t>politics</w:t>
      </w:r>
      <w:r w:rsidRPr="007A0D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 driven by a quest for</w:t>
      </w:r>
      <w:r w:rsidRPr="007A0D7B">
        <w:rPr>
          <w:rFonts w:ascii="Times New Roman" w:hAnsi="Times New Roman" w:cs="Times New Roman"/>
          <w:color w:val="000000"/>
          <w:sz w:val="24"/>
          <w:szCs w:val="24"/>
        </w:rPr>
        <w:t xml:space="preserve"> reparations</w:t>
      </w:r>
      <w:r>
        <w:rPr>
          <w:rFonts w:ascii="Times New Roman" w:hAnsi="Times New Roman" w:cs="Times New Roman"/>
          <w:color w:val="000000"/>
          <w:sz w:val="24"/>
          <w:szCs w:val="24"/>
        </w:rPr>
        <w:t xml:space="preserve"> for</w:t>
      </w:r>
      <w:r w:rsidR="00792330">
        <w:rPr>
          <w:rFonts w:ascii="Times New Roman" w:hAnsi="Times New Roman" w:cs="Times New Roman"/>
          <w:color w:val="000000"/>
          <w:sz w:val="24"/>
          <w:szCs w:val="24"/>
        </w:rPr>
        <w:t xml:space="preserve"> some but not all past rights’ violations.  In particular, the 1915 Genocide and the atrocities committed in Nagorno-Karabakh</w:t>
      </w:r>
      <w:r w:rsidR="00F111BE">
        <w:rPr>
          <w:rFonts w:ascii="Times New Roman" w:hAnsi="Times New Roman" w:cs="Times New Roman"/>
          <w:color w:val="000000"/>
          <w:sz w:val="24"/>
          <w:szCs w:val="24"/>
        </w:rPr>
        <w:t xml:space="preserve"> </w:t>
      </w:r>
      <w:r w:rsidR="00792330">
        <w:rPr>
          <w:rFonts w:ascii="Times New Roman" w:hAnsi="Times New Roman" w:cs="Times New Roman"/>
          <w:color w:val="000000"/>
          <w:sz w:val="24"/>
          <w:szCs w:val="24"/>
        </w:rPr>
        <w:t>overshadow</w:t>
      </w:r>
      <w:r w:rsidR="00F111BE">
        <w:rPr>
          <w:rFonts w:ascii="Times New Roman" w:hAnsi="Times New Roman" w:cs="Times New Roman"/>
          <w:color w:val="000000"/>
          <w:sz w:val="24"/>
          <w:szCs w:val="24"/>
        </w:rPr>
        <w:t xml:space="preserve"> all other pasts, including t</w:t>
      </w:r>
      <w:r w:rsidR="00346F52">
        <w:rPr>
          <w:rFonts w:ascii="Times New Roman" w:hAnsi="Times New Roman" w:cs="Times New Roman"/>
          <w:color w:val="000000"/>
          <w:sz w:val="24"/>
          <w:szCs w:val="24"/>
        </w:rPr>
        <w:t xml:space="preserve">he more recent communist past. </w:t>
      </w:r>
      <w:r w:rsidR="00792330">
        <w:rPr>
          <w:rFonts w:ascii="Times New Roman" w:hAnsi="Times New Roman" w:cs="Times New Roman"/>
          <w:color w:val="000000"/>
          <w:sz w:val="24"/>
          <w:szCs w:val="24"/>
        </w:rPr>
        <w:t>In fact, addressing t</w:t>
      </w:r>
      <w:r w:rsidR="00F111BE">
        <w:rPr>
          <w:rFonts w:ascii="Times New Roman" w:hAnsi="Times New Roman" w:cs="Times New Roman"/>
          <w:color w:val="000000"/>
          <w:sz w:val="24"/>
          <w:szCs w:val="24"/>
        </w:rPr>
        <w:t xml:space="preserve">he post-communist past could </w:t>
      </w:r>
      <w:r w:rsidR="00792330">
        <w:rPr>
          <w:rFonts w:ascii="Times New Roman" w:hAnsi="Times New Roman" w:cs="Times New Roman"/>
          <w:color w:val="000000"/>
          <w:sz w:val="24"/>
          <w:szCs w:val="24"/>
        </w:rPr>
        <w:t>reveal how</w:t>
      </w:r>
      <w:r w:rsidR="00F111BE">
        <w:rPr>
          <w:rFonts w:ascii="Times New Roman" w:hAnsi="Times New Roman" w:cs="Times New Roman"/>
          <w:color w:val="000000"/>
          <w:sz w:val="24"/>
          <w:szCs w:val="24"/>
        </w:rPr>
        <w:t xml:space="preserve"> Armenians </w:t>
      </w:r>
      <w:r w:rsidR="00792330">
        <w:rPr>
          <w:rFonts w:ascii="Times New Roman" w:hAnsi="Times New Roman" w:cs="Times New Roman"/>
          <w:color w:val="000000"/>
          <w:sz w:val="24"/>
          <w:szCs w:val="24"/>
        </w:rPr>
        <w:t>were not just victims but also</w:t>
      </w:r>
      <w:r w:rsidR="00F111BE">
        <w:rPr>
          <w:rFonts w:ascii="Times New Roman" w:hAnsi="Times New Roman" w:cs="Times New Roman"/>
          <w:color w:val="000000"/>
          <w:sz w:val="24"/>
          <w:szCs w:val="24"/>
        </w:rPr>
        <w:t xml:space="preserve"> perpetrators of rights’</w:t>
      </w:r>
      <w:r w:rsidR="00792330">
        <w:rPr>
          <w:rFonts w:ascii="Times New Roman" w:hAnsi="Times New Roman" w:cs="Times New Roman"/>
          <w:color w:val="000000"/>
          <w:sz w:val="24"/>
          <w:szCs w:val="24"/>
        </w:rPr>
        <w:t xml:space="preserve"> abuses.  Therefore, as with other FSU states in this volume like Ukraine, Kazakhstan and Georgia, Armenia has </w:t>
      </w:r>
      <w:r w:rsidR="00F111BE">
        <w:rPr>
          <w:rFonts w:ascii="Times New Roman" w:hAnsi="Times New Roman" w:cs="Times New Roman"/>
          <w:color w:val="000000"/>
          <w:sz w:val="24"/>
          <w:szCs w:val="24"/>
        </w:rPr>
        <w:t>instrumental</w:t>
      </w:r>
      <w:r w:rsidR="00792330">
        <w:rPr>
          <w:rFonts w:ascii="Times New Roman" w:hAnsi="Times New Roman" w:cs="Times New Roman"/>
          <w:color w:val="000000"/>
          <w:sz w:val="24"/>
          <w:szCs w:val="24"/>
        </w:rPr>
        <w:t>ly</w:t>
      </w:r>
      <w:r w:rsidR="00F111BE">
        <w:rPr>
          <w:rFonts w:ascii="Times New Roman" w:hAnsi="Times New Roman" w:cs="Times New Roman"/>
          <w:color w:val="000000"/>
          <w:sz w:val="24"/>
          <w:szCs w:val="24"/>
        </w:rPr>
        <w:t xml:space="preserve"> </w:t>
      </w:r>
      <w:r w:rsidR="00792330">
        <w:rPr>
          <w:rFonts w:ascii="Times New Roman" w:hAnsi="Times New Roman" w:cs="Times New Roman"/>
          <w:color w:val="000000"/>
          <w:sz w:val="24"/>
          <w:szCs w:val="24"/>
        </w:rPr>
        <w:t>privileged</w:t>
      </w:r>
      <w:r w:rsidR="00F111BE">
        <w:rPr>
          <w:rFonts w:ascii="Times New Roman" w:hAnsi="Times New Roman" w:cs="Times New Roman"/>
          <w:color w:val="000000"/>
          <w:sz w:val="24"/>
          <w:szCs w:val="24"/>
        </w:rPr>
        <w:t xml:space="preserve"> </w:t>
      </w:r>
      <w:r w:rsidR="00792330">
        <w:rPr>
          <w:rFonts w:ascii="Times New Roman" w:hAnsi="Times New Roman" w:cs="Times New Roman"/>
          <w:color w:val="000000"/>
          <w:sz w:val="24"/>
          <w:szCs w:val="24"/>
        </w:rPr>
        <w:t xml:space="preserve">reckoning with </w:t>
      </w:r>
      <w:r w:rsidR="00F111BE">
        <w:rPr>
          <w:rFonts w:ascii="Times New Roman" w:hAnsi="Times New Roman" w:cs="Times New Roman"/>
          <w:color w:val="000000"/>
          <w:sz w:val="24"/>
          <w:szCs w:val="24"/>
        </w:rPr>
        <w:t>some pasts over others</w:t>
      </w:r>
      <w:r w:rsidR="00792330">
        <w:rPr>
          <w:rFonts w:ascii="Times New Roman" w:hAnsi="Times New Roman" w:cs="Times New Roman"/>
          <w:color w:val="000000"/>
          <w:sz w:val="24"/>
          <w:szCs w:val="24"/>
        </w:rPr>
        <w:t xml:space="preserve"> as part of its post-communist state-building program. </w:t>
      </w:r>
      <w:proofErr w:type="spellStart"/>
      <w:r w:rsidR="00792330">
        <w:rPr>
          <w:rFonts w:ascii="Times New Roman" w:hAnsi="Times New Roman" w:cs="Times New Roman"/>
          <w:color w:val="000000"/>
          <w:sz w:val="24"/>
          <w:szCs w:val="24"/>
        </w:rPr>
        <w:t>Suciu’s</w:t>
      </w:r>
      <w:proofErr w:type="spellEnd"/>
      <w:r w:rsidR="00346F52" w:rsidRPr="005242EB">
        <w:rPr>
          <w:rFonts w:ascii="Times New Roman" w:hAnsi="Times New Roman" w:cs="Times New Roman"/>
          <w:sz w:val="24"/>
          <w:szCs w:val="24"/>
        </w:rPr>
        <w:t xml:space="preserve"> chapter is espec</w:t>
      </w:r>
      <w:r w:rsidR="00346F52">
        <w:rPr>
          <w:rFonts w:ascii="Times New Roman" w:hAnsi="Times New Roman" w:cs="Times New Roman"/>
          <w:sz w:val="24"/>
          <w:szCs w:val="24"/>
        </w:rPr>
        <w:t xml:space="preserve">ially interesting in addressing both historical abuses and on-going rights’ abuses, highlighting that transitional justice is not just about past abuses but could also encompass present and on-going abuses. </w:t>
      </w:r>
      <w:r w:rsidR="00792330">
        <w:rPr>
          <w:rFonts w:ascii="Times New Roman" w:hAnsi="Times New Roman" w:cs="Times New Roman"/>
          <w:color w:val="000000"/>
          <w:sz w:val="24"/>
          <w:szCs w:val="24"/>
        </w:rPr>
        <w:t>H</w:t>
      </w:r>
      <w:r>
        <w:rPr>
          <w:rFonts w:ascii="Times New Roman" w:hAnsi="Times New Roman" w:cs="Times New Roman"/>
          <w:color w:val="000000"/>
          <w:sz w:val="24"/>
          <w:szCs w:val="24"/>
        </w:rPr>
        <w:t xml:space="preserve">er chapter explores how Russia, Turkey, Azerbaijan, the EU and </w:t>
      </w:r>
      <w:r>
        <w:rPr>
          <w:rFonts w:ascii="Times New Roman" w:hAnsi="Times New Roman" w:cs="Times New Roman"/>
          <w:color w:val="000000"/>
          <w:sz w:val="24"/>
          <w:szCs w:val="24"/>
        </w:rPr>
        <w:lastRenderedPageBreak/>
        <w:t xml:space="preserve">even the U.S. play a role in these issues, suggesting an internationalization of transitional justice and memory politics that reverberates </w:t>
      </w:r>
      <w:r w:rsidR="00792330">
        <w:rPr>
          <w:rFonts w:ascii="Times New Roman" w:hAnsi="Times New Roman" w:cs="Times New Roman"/>
          <w:color w:val="000000"/>
          <w:sz w:val="24"/>
          <w:szCs w:val="24"/>
        </w:rPr>
        <w:t xml:space="preserve">in multiple ways </w:t>
      </w:r>
      <w:r>
        <w:rPr>
          <w:rFonts w:ascii="Times New Roman" w:hAnsi="Times New Roman" w:cs="Times New Roman"/>
          <w:color w:val="000000"/>
          <w:sz w:val="24"/>
          <w:szCs w:val="24"/>
        </w:rPr>
        <w:t xml:space="preserve">with </w:t>
      </w:r>
      <w:proofErr w:type="spellStart"/>
      <w:r w:rsidRPr="00D2205D">
        <w:rPr>
          <w:rFonts w:ascii="Times New Roman" w:hAnsi="Times New Roman" w:cs="Times New Roman"/>
          <w:sz w:val="24"/>
          <w:szCs w:val="24"/>
        </w:rPr>
        <w:t>Dimitrijević</w:t>
      </w:r>
      <w:r>
        <w:rPr>
          <w:rFonts w:ascii="Times New Roman" w:hAnsi="Times New Roman" w:cs="Times New Roman"/>
          <w:sz w:val="24"/>
          <w:szCs w:val="24"/>
        </w:rPr>
        <w:t>’s</w:t>
      </w:r>
      <w:proofErr w:type="spellEnd"/>
      <w:r>
        <w:rPr>
          <w:rFonts w:ascii="Times New Roman" w:hAnsi="Times New Roman" w:cs="Times New Roman"/>
          <w:sz w:val="24"/>
          <w:szCs w:val="24"/>
        </w:rPr>
        <w:t xml:space="preserve"> subsequent chapter on Serbia</w:t>
      </w:r>
      <w:r>
        <w:rPr>
          <w:rFonts w:ascii="Times New Roman" w:hAnsi="Times New Roman" w:cs="Times New Roman"/>
          <w:color w:val="000000"/>
          <w:sz w:val="24"/>
          <w:szCs w:val="24"/>
        </w:rPr>
        <w:t xml:space="preserve">. </w:t>
      </w:r>
    </w:p>
    <w:p w:rsidR="00E32D1A" w:rsidRDefault="00E32D1A" w:rsidP="007F7325">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Nenad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Dimitrijević’s</w:t>
      </w:r>
      <w:proofErr w:type="spellEnd"/>
      <w:r>
        <w:rPr>
          <w:rFonts w:ascii="Times New Roman" w:hAnsi="Times New Roman" w:cs="Times New Roman"/>
          <w:sz w:val="24"/>
          <w:szCs w:val="24"/>
        </w:rPr>
        <w:t xml:space="preserve"> chapter “Learning from Serbian Failure: The Denial of Three Repressive Pasts” explores the dilemmas surrounding the use of transitional justice to address some pasts but not others</w:t>
      </w:r>
      <w:r w:rsidR="00B4453B">
        <w:rPr>
          <w:rFonts w:ascii="Times New Roman" w:hAnsi="Times New Roman" w:cs="Times New Roman"/>
          <w:sz w:val="24"/>
          <w:szCs w:val="24"/>
        </w:rPr>
        <w:t xml:space="preserve"> in the case of post-conflict Serbia</w:t>
      </w:r>
      <w:r w:rsidR="00391E82">
        <w:rPr>
          <w:rFonts w:ascii="Times New Roman" w:hAnsi="Times New Roman" w:cs="Times New Roman"/>
          <w:sz w:val="24"/>
          <w:szCs w:val="24"/>
        </w:rPr>
        <w:t xml:space="preserve">. </w:t>
      </w:r>
      <w:r>
        <w:rPr>
          <w:rFonts w:ascii="Times New Roman" w:hAnsi="Times New Roman" w:cs="Times New Roman"/>
          <w:sz w:val="24"/>
          <w:szCs w:val="24"/>
        </w:rPr>
        <w:t>He examines three repressive periods in Serbia’s history, namely W</w:t>
      </w:r>
      <w:r w:rsidR="009441CA">
        <w:rPr>
          <w:rFonts w:ascii="Times New Roman" w:hAnsi="Times New Roman" w:cs="Times New Roman"/>
          <w:sz w:val="24"/>
          <w:szCs w:val="24"/>
        </w:rPr>
        <w:t xml:space="preserve">orld </w:t>
      </w:r>
      <w:r>
        <w:rPr>
          <w:rFonts w:ascii="Times New Roman" w:hAnsi="Times New Roman" w:cs="Times New Roman"/>
          <w:sz w:val="24"/>
          <w:szCs w:val="24"/>
        </w:rPr>
        <w:t>W</w:t>
      </w:r>
      <w:r w:rsidR="009441CA">
        <w:rPr>
          <w:rFonts w:ascii="Times New Roman" w:hAnsi="Times New Roman" w:cs="Times New Roman"/>
          <w:sz w:val="24"/>
          <w:szCs w:val="24"/>
        </w:rPr>
        <w:t xml:space="preserve">ar </w:t>
      </w:r>
      <w:r>
        <w:rPr>
          <w:rFonts w:ascii="Times New Roman" w:hAnsi="Times New Roman" w:cs="Times New Roman"/>
          <w:sz w:val="24"/>
          <w:szCs w:val="24"/>
        </w:rPr>
        <w:t>II under Germ</w:t>
      </w:r>
      <w:r w:rsidRPr="00B459B9">
        <w:rPr>
          <w:rFonts w:ascii="Times New Roman" w:hAnsi="Times New Roman" w:cs="Times New Roman"/>
          <w:sz w:val="24"/>
          <w:szCs w:val="24"/>
        </w:rPr>
        <w:t xml:space="preserve">an occupying powers, the Yugoslav communist </w:t>
      </w:r>
      <w:r>
        <w:rPr>
          <w:rFonts w:ascii="Times New Roman" w:hAnsi="Times New Roman" w:cs="Times New Roman"/>
          <w:sz w:val="24"/>
          <w:szCs w:val="24"/>
        </w:rPr>
        <w:t>period</w:t>
      </w:r>
      <w:r w:rsidRPr="00B459B9">
        <w:rPr>
          <w:rFonts w:ascii="Times New Roman" w:hAnsi="Times New Roman" w:cs="Times New Roman"/>
          <w:sz w:val="24"/>
          <w:szCs w:val="24"/>
        </w:rPr>
        <w:t xml:space="preserve">, and the regime of Slobodan </w:t>
      </w:r>
      <w:proofErr w:type="spellStart"/>
      <w:r w:rsidRPr="00B459B9">
        <w:rPr>
          <w:rFonts w:ascii="Times New Roman" w:hAnsi="Times New Roman" w:cs="Times New Roman"/>
          <w:bCs/>
          <w:sz w:val="24"/>
          <w:szCs w:val="24"/>
          <w:shd w:val="clear" w:color="auto" w:fill="FFFFFF"/>
        </w:rPr>
        <w:t>Milošević</w:t>
      </w:r>
      <w:proofErr w:type="spellEnd"/>
      <w:r w:rsidRPr="00B459B9">
        <w:rPr>
          <w:rFonts w:ascii="Times New Roman" w:hAnsi="Times New Roman" w:cs="Times New Roman"/>
          <w:bCs/>
          <w:sz w:val="24"/>
          <w:szCs w:val="24"/>
          <w:shd w:val="clear" w:color="auto" w:fill="FFFFFF"/>
        </w:rPr>
        <w:t xml:space="preserve">. </w:t>
      </w:r>
      <w:r w:rsidR="009441CA">
        <w:rPr>
          <w:rFonts w:ascii="Times New Roman" w:hAnsi="Times New Roman" w:cs="Times New Roman"/>
          <w:bCs/>
          <w:sz w:val="24"/>
          <w:szCs w:val="24"/>
          <w:shd w:val="clear" w:color="auto" w:fill="FFFFFF"/>
        </w:rPr>
        <w:t>T</w:t>
      </w:r>
      <w:r w:rsidRPr="00B459B9">
        <w:rPr>
          <w:rFonts w:ascii="Times New Roman" w:hAnsi="Times New Roman" w:cs="Times New Roman"/>
          <w:bCs/>
          <w:sz w:val="24"/>
          <w:szCs w:val="24"/>
          <w:shd w:val="clear" w:color="auto" w:fill="FFFFFF"/>
        </w:rPr>
        <w:t>he case of Serbia is an unus</w:t>
      </w:r>
      <w:r>
        <w:rPr>
          <w:rFonts w:ascii="Times New Roman" w:hAnsi="Times New Roman" w:cs="Times New Roman"/>
          <w:bCs/>
          <w:sz w:val="24"/>
          <w:szCs w:val="24"/>
          <w:shd w:val="clear" w:color="auto" w:fill="FFFFFF"/>
        </w:rPr>
        <w:t>u</w:t>
      </w:r>
      <w:r w:rsidRPr="00B459B9">
        <w:rPr>
          <w:rFonts w:ascii="Times New Roman" w:hAnsi="Times New Roman" w:cs="Times New Roman"/>
          <w:bCs/>
          <w:sz w:val="24"/>
          <w:szCs w:val="24"/>
          <w:shd w:val="clear" w:color="auto" w:fill="FFFFFF"/>
        </w:rPr>
        <w:t xml:space="preserve">al case of </w:t>
      </w:r>
      <w:r>
        <w:rPr>
          <w:rFonts w:ascii="Times New Roman" w:hAnsi="Times New Roman" w:cs="Times New Roman"/>
          <w:bCs/>
          <w:sz w:val="24"/>
          <w:szCs w:val="24"/>
          <w:shd w:val="clear" w:color="auto" w:fill="FFFFFF"/>
        </w:rPr>
        <w:t xml:space="preserve">unaddressed or selectively addressed </w:t>
      </w:r>
      <w:r w:rsidRPr="00B459B9">
        <w:rPr>
          <w:rFonts w:ascii="Times New Roman" w:hAnsi="Times New Roman" w:cs="Times New Roman"/>
          <w:bCs/>
          <w:sz w:val="24"/>
          <w:szCs w:val="24"/>
          <w:shd w:val="clear" w:color="auto" w:fill="FFFFFF"/>
        </w:rPr>
        <w:t xml:space="preserve">post-conflict </w:t>
      </w:r>
      <w:r>
        <w:rPr>
          <w:rFonts w:ascii="Times New Roman" w:hAnsi="Times New Roman" w:cs="Times New Roman"/>
          <w:bCs/>
          <w:sz w:val="24"/>
          <w:szCs w:val="24"/>
          <w:shd w:val="clear" w:color="auto" w:fill="FFFFFF"/>
        </w:rPr>
        <w:t xml:space="preserve">atrocities </w:t>
      </w:r>
      <w:r w:rsidRPr="00B459B9">
        <w:rPr>
          <w:rFonts w:ascii="Times New Roman" w:hAnsi="Times New Roman" w:cs="Times New Roman"/>
          <w:bCs/>
          <w:sz w:val="24"/>
          <w:szCs w:val="24"/>
          <w:shd w:val="clear" w:color="auto" w:fill="FFFFFF"/>
        </w:rPr>
        <w:t xml:space="preserve">layered </w:t>
      </w:r>
      <w:r>
        <w:rPr>
          <w:rFonts w:ascii="Times New Roman" w:hAnsi="Times New Roman" w:cs="Times New Roman"/>
          <w:bCs/>
          <w:sz w:val="24"/>
          <w:szCs w:val="24"/>
          <w:shd w:val="clear" w:color="auto" w:fill="FFFFFF"/>
        </w:rPr>
        <w:t>on</w:t>
      </w:r>
      <w:r w:rsidRPr="00B459B9">
        <w:rPr>
          <w:rFonts w:ascii="Times New Roman" w:hAnsi="Times New Roman" w:cs="Times New Roman"/>
          <w:bCs/>
          <w:sz w:val="24"/>
          <w:szCs w:val="24"/>
          <w:shd w:val="clear" w:color="auto" w:fill="FFFFFF"/>
        </w:rPr>
        <w:t xml:space="preserve"> post-authoritarian</w:t>
      </w:r>
      <w:r>
        <w:rPr>
          <w:rFonts w:ascii="Times New Roman" w:hAnsi="Times New Roman" w:cs="Times New Roman"/>
          <w:bCs/>
          <w:sz w:val="24"/>
          <w:szCs w:val="24"/>
          <w:shd w:val="clear" w:color="auto" w:fill="FFFFFF"/>
        </w:rPr>
        <w:t xml:space="preserve"> repressions layered on post-conflict violence</w:t>
      </w:r>
      <w:r w:rsidR="00EF775F">
        <w:rPr>
          <w:rFonts w:ascii="Times New Roman" w:hAnsi="Times New Roman" w:cs="Times New Roman"/>
          <w:bCs/>
          <w:sz w:val="24"/>
          <w:szCs w:val="24"/>
          <w:shd w:val="clear" w:color="auto" w:fill="FFFFFF"/>
        </w:rPr>
        <w:t>, resonating with other countries in this study such as Georgia, Ukraine and Moldova</w:t>
      </w:r>
      <w:r>
        <w:rPr>
          <w:rFonts w:ascii="Times New Roman" w:hAnsi="Times New Roman" w:cs="Times New Roman"/>
          <w:bCs/>
          <w:sz w:val="24"/>
          <w:szCs w:val="24"/>
          <w:shd w:val="clear" w:color="auto" w:fill="FFFFFF"/>
        </w:rPr>
        <w:t xml:space="preserve">. </w:t>
      </w:r>
      <w:proofErr w:type="spellStart"/>
      <w:r w:rsidRPr="00B459B9">
        <w:rPr>
          <w:rFonts w:ascii="Times New Roman" w:hAnsi="Times New Roman" w:cs="Times New Roman"/>
          <w:sz w:val="24"/>
          <w:szCs w:val="24"/>
        </w:rPr>
        <w:t>Dimitrijević</w:t>
      </w:r>
      <w:proofErr w:type="spellEnd"/>
      <w:r w:rsidRPr="00B459B9">
        <w:rPr>
          <w:rFonts w:ascii="Times New Roman" w:hAnsi="Times New Roman" w:cs="Times New Roman"/>
          <w:sz w:val="24"/>
          <w:szCs w:val="24"/>
        </w:rPr>
        <w:t xml:space="preserve"> </w:t>
      </w:r>
      <w:r w:rsidR="00EF775F">
        <w:rPr>
          <w:rFonts w:ascii="Times New Roman" w:hAnsi="Times New Roman" w:cs="Times New Roman"/>
          <w:sz w:val="24"/>
          <w:szCs w:val="24"/>
        </w:rPr>
        <w:t>juxtaposes</w:t>
      </w:r>
      <w:r w:rsidRPr="00B459B9">
        <w:rPr>
          <w:rFonts w:ascii="Times New Roman" w:hAnsi="Times New Roman" w:cs="Times New Roman"/>
          <w:sz w:val="24"/>
          <w:szCs w:val="24"/>
        </w:rPr>
        <w:t xml:space="preserve"> the limited use of transitional justice in Serbia </w:t>
      </w:r>
      <w:r w:rsidR="00EF775F">
        <w:rPr>
          <w:rFonts w:ascii="Times New Roman" w:hAnsi="Times New Roman" w:cs="Times New Roman"/>
          <w:sz w:val="24"/>
          <w:szCs w:val="24"/>
        </w:rPr>
        <w:t>to address the Yugoslav conflict and the abuses committed under</w:t>
      </w:r>
      <w:r w:rsidRPr="00B459B9">
        <w:rPr>
          <w:rFonts w:ascii="Times New Roman" w:hAnsi="Times New Roman" w:cs="Times New Roman"/>
          <w:sz w:val="24"/>
          <w:szCs w:val="24"/>
        </w:rPr>
        <w:t xml:space="preserve"> </w:t>
      </w:r>
      <w:proofErr w:type="spellStart"/>
      <w:r w:rsidRPr="00B459B9">
        <w:rPr>
          <w:rFonts w:ascii="Times New Roman" w:hAnsi="Times New Roman" w:cs="Times New Roman"/>
          <w:bCs/>
          <w:sz w:val="24"/>
          <w:szCs w:val="24"/>
          <w:shd w:val="clear" w:color="auto" w:fill="FFFFFF"/>
        </w:rPr>
        <w:t>Milošević</w:t>
      </w:r>
      <w:proofErr w:type="spellEnd"/>
      <w:r w:rsidR="00EF775F">
        <w:rPr>
          <w:rFonts w:ascii="Times New Roman" w:hAnsi="Times New Roman" w:cs="Times New Roman"/>
          <w:bCs/>
          <w:sz w:val="24"/>
          <w:szCs w:val="24"/>
          <w:shd w:val="clear" w:color="auto" w:fill="FFFFFF"/>
        </w:rPr>
        <w:t xml:space="preserve">, against </w:t>
      </w:r>
      <w:r>
        <w:rPr>
          <w:rFonts w:ascii="Times New Roman" w:hAnsi="Times New Roman" w:cs="Times New Roman"/>
          <w:bCs/>
          <w:sz w:val="24"/>
          <w:szCs w:val="24"/>
          <w:shd w:val="clear" w:color="auto" w:fill="FFFFFF"/>
        </w:rPr>
        <w:t>the considerable political legal and cultural</w:t>
      </w:r>
      <w:r w:rsidRPr="00B459B9">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efforts directed at addressing the Nazi past and the communist repression</w:t>
      </w:r>
      <w:r w:rsidR="00EF775F">
        <w:rPr>
          <w:rFonts w:ascii="Times New Roman" w:hAnsi="Times New Roman" w:cs="Times New Roman"/>
          <w:bCs/>
          <w:sz w:val="24"/>
          <w:szCs w:val="24"/>
          <w:shd w:val="clear" w:color="auto" w:fill="FFFFFF"/>
        </w:rPr>
        <w:t xml:space="preserve">. </w:t>
      </w:r>
      <w:r w:rsidR="00771D77">
        <w:rPr>
          <w:rFonts w:ascii="Times New Roman" w:hAnsi="Times New Roman" w:cs="Times New Roman"/>
          <w:bCs/>
          <w:sz w:val="24"/>
          <w:szCs w:val="24"/>
          <w:shd w:val="clear" w:color="auto" w:fill="FFFFFF"/>
        </w:rPr>
        <w:t>T</w:t>
      </w:r>
      <w:r>
        <w:rPr>
          <w:rFonts w:ascii="Times New Roman" w:hAnsi="Times New Roman" w:cs="Times New Roman"/>
          <w:bCs/>
          <w:sz w:val="24"/>
          <w:szCs w:val="24"/>
          <w:shd w:val="clear" w:color="auto" w:fill="FFFFFF"/>
        </w:rPr>
        <w:t>he wrongdoings committed during the Yugoslav conflict are largely ignored and justice efforts are focused on more</w:t>
      </w:r>
      <w:r w:rsidR="00EF775F">
        <w:rPr>
          <w:rFonts w:ascii="Times New Roman" w:hAnsi="Times New Roman" w:cs="Times New Roman"/>
          <w:bCs/>
          <w:sz w:val="24"/>
          <w:szCs w:val="24"/>
          <w:shd w:val="clear" w:color="auto" w:fill="FFFFFF"/>
        </w:rPr>
        <w:t xml:space="preserve"> temporally</w:t>
      </w:r>
      <w:r>
        <w:rPr>
          <w:rFonts w:ascii="Times New Roman" w:hAnsi="Times New Roman" w:cs="Times New Roman"/>
          <w:bCs/>
          <w:sz w:val="24"/>
          <w:szCs w:val="24"/>
          <w:shd w:val="clear" w:color="auto" w:fill="FFFFFF"/>
        </w:rPr>
        <w:t xml:space="preserve"> distant offenses. Those offenses are in turn repurposed </w:t>
      </w:r>
      <w:r w:rsidR="00EF775F">
        <w:rPr>
          <w:rFonts w:ascii="Times New Roman" w:hAnsi="Times New Roman" w:cs="Times New Roman"/>
          <w:bCs/>
          <w:sz w:val="24"/>
          <w:szCs w:val="24"/>
          <w:shd w:val="clear" w:color="auto" w:fill="FFFFFF"/>
        </w:rPr>
        <w:t>as</w:t>
      </w:r>
      <w:r>
        <w:rPr>
          <w:rFonts w:ascii="Times New Roman" w:hAnsi="Times New Roman" w:cs="Times New Roman"/>
          <w:bCs/>
          <w:sz w:val="24"/>
          <w:szCs w:val="24"/>
          <w:shd w:val="clear" w:color="auto" w:fill="FFFFFF"/>
        </w:rPr>
        <w:t xml:space="preserve"> nationalist building measures, in a manner that suggests transitional justice measures are being used to advance Serbia’s dominant cultural narrative of denial</w:t>
      </w:r>
      <w:r w:rsidR="00EF775F">
        <w:rPr>
          <w:rFonts w:ascii="Times New Roman" w:hAnsi="Times New Roman" w:cs="Times New Roman"/>
          <w:bCs/>
          <w:sz w:val="24"/>
          <w:szCs w:val="24"/>
          <w:shd w:val="clear" w:color="auto" w:fill="FFFFFF"/>
        </w:rPr>
        <w:t xml:space="preserve"> of wrongdoing</w:t>
      </w:r>
      <w:r>
        <w:rPr>
          <w:rFonts w:ascii="Times New Roman" w:hAnsi="Times New Roman" w:cs="Times New Roman"/>
          <w:bCs/>
          <w:sz w:val="24"/>
          <w:szCs w:val="24"/>
          <w:shd w:val="clear" w:color="auto" w:fill="FFFFFF"/>
        </w:rPr>
        <w:t xml:space="preserve">. Layered injustices have afforded political elites with a range of offenses to focus on at the expense of others, given an illusion of transitional justice, but one masquerading as denial of wrongs for </w:t>
      </w:r>
      <w:r w:rsidR="00EF775F">
        <w:rPr>
          <w:rFonts w:ascii="Times New Roman" w:hAnsi="Times New Roman" w:cs="Times New Roman"/>
          <w:bCs/>
          <w:sz w:val="24"/>
          <w:szCs w:val="24"/>
          <w:shd w:val="clear" w:color="auto" w:fill="FFFFFF"/>
        </w:rPr>
        <w:t>more</w:t>
      </w:r>
      <w:r>
        <w:rPr>
          <w:rFonts w:ascii="Times New Roman" w:hAnsi="Times New Roman" w:cs="Times New Roman"/>
          <w:bCs/>
          <w:sz w:val="24"/>
          <w:szCs w:val="24"/>
          <w:shd w:val="clear" w:color="auto" w:fill="FFFFFF"/>
        </w:rPr>
        <w:t xml:space="preserve"> proximate state-led violence</w:t>
      </w:r>
      <w:r w:rsidR="00EF775F">
        <w:rPr>
          <w:rFonts w:ascii="Times New Roman" w:hAnsi="Times New Roman" w:cs="Times New Roman"/>
          <w:bCs/>
          <w:sz w:val="24"/>
          <w:szCs w:val="24"/>
          <w:shd w:val="clear" w:color="auto" w:fill="FFFFFF"/>
        </w:rPr>
        <w:t xml:space="preserve"> and abuses</w:t>
      </w:r>
      <w:r>
        <w:rPr>
          <w:rFonts w:ascii="Times New Roman" w:hAnsi="Times New Roman" w:cs="Times New Roman"/>
          <w:bCs/>
          <w:sz w:val="24"/>
          <w:szCs w:val="24"/>
          <w:shd w:val="clear" w:color="auto" w:fill="FFFFFF"/>
        </w:rPr>
        <w:t xml:space="preserve">. </w:t>
      </w:r>
      <w:r w:rsidR="00EF775F">
        <w:rPr>
          <w:rFonts w:ascii="Times New Roman" w:hAnsi="Times New Roman" w:cs="Times New Roman"/>
          <w:bCs/>
          <w:sz w:val="24"/>
          <w:szCs w:val="24"/>
          <w:shd w:val="clear" w:color="auto" w:fill="FFFFFF"/>
        </w:rPr>
        <w:t xml:space="preserve">In this way, </w:t>
      </w:r>
      <w:proofErr w:type="spellStart"/>
      <w:r w:rsidR="00EF775F">
        <w:rPr>
          <w:rFonts w:ascii="Times New Roman" w:hAnsi="Times New Roman" w:cs="Times New Roman"/>
          <w:sz w:val="24"/>
          <w:szCs w:val="24"/>
        </w:rPr>
        <w:t>Dimitrijević</w:t>
      </w:r>
      <w:proofErr w:type="spellEnd"/>
      <w:r w:rsidR="00EF775F">
        <w:rPr>
          <w:rFonts w:ascii="Times New Roman" w:hAnsi="Times New Roman" w:cs="Times New Roman"/>
          <w:sz w:val="24"/>
          <w:szCs w:val="24"/>
        </w:rPr>
        <w:t xml:space="preserve"> draws out the lessons learned from Serbia’s misuse of transitional justice and selective engagement with some atrocities over others in order to speak to similar cases of layered, unresolved rights abuses in the FSU cases.</w:t>
      </w:r>
    </w:p>
    <w:p w:rsidR="002D68ED" w:rsidRDefault="0029277E" w:rsidP="007F73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third main th</w:t>
      </w:r>
      <w:r w:rsidR="00FE375E">
        <w:rPr>
          <w:rFonts w:ascii="Times New Roman" w:hAnsi="Times New Roman" w:cs="Times New Roman"/>
          <w:sz w:val="24"/>
          <w:szCs w:val="24"/>
        </w:rPr>
        <w:t>eme running through this volume</w:t>
      </w:r>
      <w:r>
        <w:rPr>
          <w:rFonts w:ascii="Times New Roman" w:hAnsi="Times New Roman" w:cs="Times New Roman"/>
          <w:sz w:val="24"/>
          <w:szCs w:val="24"/>
        </w:rPr>
        <w:t xml:space="preserve"> </w:t>
      </w:r>
      <w:r w:rsidR="001B2E6A">
        <w:rPr>
          <w:rFonts w:ascii="Times New Roman" w:hAnsi="Times New Roman" w:cs="Times New Roman"/>
          <w:sz w:val="24"/>
          <w:szCs w:val="24"/>
        </w:rPr>
        <w:t>considers</w:t>
      </w:r>
      <w:r>
        <w:rPr>
          <w:rFonts w:ascii="Times New Roman" w:hAnsi="Times New Roman" w:cs="Times New Roman"/>
          <w:sz w:val="24"/>
          <w:szCs w:val="24"/>
        </w:rPr>
        <w:t xml:space="preserve"> </w:t>
      </w:r>
      <w:r w:rsidRPr="00891A09">
        <w:rPr>
          <w:rFonts w:ascii="Times New Roman" w:hAnsi="Times New Roman" w:cs="Times New Roman"/>
          <w:b/>
          <w:i/>
          <w:sz w:val="24"/>
          <w:szCs w:val="24"/>
        </w:rPr>
        <w:t>anti-reform constituencies,</w:t>
      </w:r>
      <w:r>
        <w:rPr>
          <w:rFonts w:ascii="Times New Roman" w:hAnsi="Times New Roman" w:cs="Times New Roman"/>
          <w:i/>
          <w:sz w:val="24"/>
          <w:szCs w:val="24"/>
        </w:rPr>
        <w:t xml:space="preserve"> </w:t>
      </w:r>
      <w:r>
        <w:rPr>
          <w:rFonts w:ascii="Times New Roman" w:hAnsi="Times New Roman" w:cs="Times New Roman"/>
          <w:sz w:val="24"/>
          <w:szCs w:val="24"/>
        </w:rPr>
        <w:t>including state-led opposition to reform a</w:t>
      </w:r>
      <w:r w:rsidR="00F809BB">
        <w:rPr>
          <w:rFonts w:ascii="Times New Roman" w:hAnsi="Times New Roman" w:cs="Times New Roman"/>
          <w:sz w:val="24"/>
          <w:szCs w:val="24"/>
        </w:rPr>
        <w:t>nd</w:t>
      </w:r>
      <w:r>
        <w:rPr>
          <w:rFonts w:ascii="Times New Roman" w:hAnsi="Times New Roman" w:cs="Times New Roman"/>
          <w:sz w:val="24"/>
          <w:szCs w:val="24"/>
        </w:rPr>
        <w:t xml:space="preserve"> opposition emanating from various civil society groups.</w:t>
      </w:r>
      <w:r w:rsidRPr="00676367">
        <w:rPr>
          <w:rFonts w:ascii="Times New Roman" w:hAnsi="Times New Roman" w:cs="Times New Roman"/>
          <w:b/>
          <w:sz w:val="24"/>
          <w:szCs w:val="24"/>
        </w:rPr>
        <w:t xml:space="preserve"> </w:t>
      </w:r>
      <w:r w:rsidRPr="00676367">
        <w:rPr>
          <w:rFonts w:ascii="Times New Roman" w:hAnsi="Times New Roman" w:cs="Times New Roman"/>
          <w:sz w:val="24"/>
          <w:szCs w:val="24"/>
        </w:rPr>
        <w:t xml:space="preserve">Transitional justice is not unproblematic as a set of reforms. There are groups in society and elements of the state structure that benefit economically, socially and politically from a failure to make the past transparent and from distorting the past by selectively emphasizing </w:t>
      </w:r>
      <w:r w:rsidR="00FE375E">
        <w:rPr>
          <w:rFonts w:ascii="Times New Roman" w:hAnsi="Times New Roman" w:cs="Times New Roman"/>
          <w:sz w:val="24"/>
          <w:szCs w:val="24"/>
        </w:rPr>
        <w:t>certain</w:t>
      </w:r>
      <w:r w:rsidRPr="00676367">
        <w:rPr>
          <w:rFonts w:ascii="Times New Roman" w:hAnsi="Times New Roman" w:cs="Times New Roman"/>
          <w:sz w:val="24"/>
          <w:szCs w:val="24"/>
        </w:rPr>
        <w:t xml:space="preserve"> elements. The efforts by many states in the region to legally block transitional justice reforms or to allow only partial reforms merit </w:t>
      </w:r>
      <w:r>
        <w:rPr>
          <w:rFonts w:ascii="Times New Roman" w:hAnsi="Times New Roman" w:cs="Times New Roman"/>
          <w:sz w:val="24"/>
          <w:szCs w:val="24"/>
        </w:rPr>
        <w:t xml:space="preserve">close </w:t>
      </w:r>
      <w:r w:rsidR="00FE375E">
        <w:rPr>
          <w:rFonts w:ascii="Times New Roman" w:hAnsi="Times New Roman" w:cs="Times New Roman"/>
          <w:sz w:val="24"/>
          <w:szCs w:val="24"/>
        </w:rPr>
        <w:t>attention</w:t>
      </w:r>
      <w:r w:rsidRPr="00676367">
        <w:rPr>
          <w:rFonts w:ascii="Times New Roman" w:hAnsi="Times New Roman" w:cs="Times New Roman"/>
          <w:sz w:val="24"/>
          <w:szCs w:val="24"/>
        </w:rPr>
        <w:t>. Additionally, the constituencies that mobilize to block transitional justice bear consideration in light of the diverse groups that have thwarted ef</w:t>
      </w:r>
      <w:bookmarkStart w:id="0" w:name="_GoBack"/>
      <w:bookmarkEnd w:id="0"/>
      <w:r w:rsidRPr="00676367">
        <w:rPr>
          <w:rFonts w:ascii="Times New Roman" w:hAnsi="Times New Roman" w:cs="Times New Roman"/>
          <w:sz w:val="24"/>
          <w:szCs w:val="24"/>
        </w:rPr>
        <w:t>forts for accountability</w:t>
      </w:r>
      <w:r>
        <w:rPr>
          <w:rFonts w:ascii="Times New Roman" w:hAnsi="Times New Roman" w:cs="Times New Roman"/>
          <w:sz w:val="24"/>
          <w:szCs w:val="24"/>
        </w:rPr>
        <w:t>, such as political elites, special interest groups, and nationalist movements</w:t>
      </w:r>
      <w:r w:rsidRPr="00676367">
        <w:rPr>
          <w:rFonts w:ascii="Times New Roman" w:hAnsi="Times New Roman" w:cs="Times New Roman"/>
          <w:sz w:val="24"/>
          <w:szCs w:val="24"/>
        </w:rPr>
        <w:t>.</w:t>
      </w:r>
      <w:r>
        <w:rPr>
          <w:rFonts w:ascii="Times New Roman" w:hAnsi="Times New Roman" w:cs="Times New Roman"/>
          <w:sz w:val="24"/>
          <w:szCs w:val="24"/>
        </w:rPr>
        <w:t xml:space="preserve"> However, it is not only the absence of reforms that must be considered, but the selection of some types of reforms that distort the past or hijack authentic efforts to engage in accountability. As such both the presence of certain types of choices </w:t>
      </w:r>
      <w:r w:rsidR="00F809BB">
        <w:rPr>
          <w:rFonts w:ascii="Times New Roman" w:hAnsi="Times New Roman" w:cs="Times New Roman"/>
          <w:sz w:val="24"/>
          <w:szCs w:val="24"/>
        </w:rPr>
        <w:t>and</w:t>
      </w:r>
      <w:r>
        <w:rPr>
          <w:rFonts w:ascii="Times New Roman" w:hAnsi="Times New Roman" w:cs="Times New Roman"/>
          <w:sz w:val="24"/>
          <w:szCs w:val="24"/>
        </w:rPr>
        <w:t xml:space="preserve"> the absence of measures altogether could constitute anti-reform constituencies.</w:t>
      </w:r>
      <w:r w:rsidRPr="00676367">
        <w:rPr>
          <w:rFonts w:ascii="Times New Roman" w:hAnsi="Times New Roman" w:cs="Times New Roman"/>
          <w:sz w:val="24"/>
          <w:szCs w:val="24"/>
        </w:rPr>
        <w:t xml:space="preserve"> Contributions by </w:t>
      </w:r>
      <w:r w:rsidRPr="00C639B3">
        <w:rPr>
          <w:rFonts w:ascii="Times New Roman" w:hAnsi="Times New Roman" w:cs="Times New Roman"/>
          <w:sz w:val="24"/>
          <w:szCs w:val="24"/>
        </w:rPr>
        <w:t xml:space="preserve">Stan, Adler, </w:t>
      </w:r>
      <w:proofErr w:type="spellStart"/>
      <w:r w:rsidRPr="00C639B3">
        <w:rPr>
          <w:rFonts w:ascii="Times New Roman" w:hAnsi="Times New Roman" w:cs="Times New Roman"/>
          <w:sz w:val="24"/>
          <w:szCs w:val="24"/>
        </w:rPr>
        <w:t>Bekus</w:t>
      </w:r>
      <w:proofErr w:type="spellEnd"/>
      <w:r>
        <w:rPr>
          <w:rFonts w:ascii="Times New Roman" w:hAnsi="Times New Roman" w:cs="Times New Roman"/>
          <w:sz w:val="24"/>
          <w:szCs w:val="24"/>
        </w:rPr>
        <w:t>,</w:t>
      </w:r>
      <w:r w:rsidRPr="00C639B3">
        <w:rPr>
          <w:rFonts w:ascii="Times New Roman" w:hAnsi="Times New Roman" w:cs="Times New Roman"/>
          <w:sz w:val="24"/>
          <w:szCs w:val="24"/>
        </w:rPr>
        <w:t xml:space="preserve"> and Austin</w:t>
      </w:r>
      <w:r w:rsidRPr="00676367">
        <w:rPr>
          <w:rFonts w:ascii="Times New Roman" w:hAnsi="Times New Roman" w:cs="Times New Roman"/>
          <w:sz w:val="24"/>
          <w:szCs w:val="24"/>
        </w:rPr>
        <w:t xml:space="preserve"> examine the composition and impact of anti-reform constituencies and their relationship with key </w:t>
      </w:r>
      <w:r w:rsidRPr="00057162">
        <w:rPr>
          <w:rFonts w:ascii="Times New Roman" w:hAnsi="Times New Roman" w:cs="Times New Roman"/>
          <w:sz w:val="24"/>
          <w:szCs w:val="24"/>
        </w:rPr>
        <w:t>political actors representing the government and the opposition in the FSU.</w:t>
      </w:r>
    </w:p>
    <w:p w:rsidR="00FE375E" w:rsidRPr="00C60D6E" w:rsidRDefault="00FE375E" w:rsidP="007F7325">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Lavinia</w:t>
      </w:r>
      <w:proofErr w:type="spellEnd"/>
      <w:r>
        <w:rPr>
          <w:rFonts w:ascii="Times New Roman" w:hAnsi="Times New Roman" w:cs="Times New Roman"/>
          <w:sz w:val="24"/>
          <w:szCs w:val="24"/>
        </w:rPr>
        <w:t xml:space="preserve"> Stan examines the understudied case of Moldova in “Transitional Justice Lessons from Moldova,” hi</w:t>
      </w:r>
      <w:r w:rsidR="00C41ABE">
        <w:rPr>
          <w:rFonts w:ascii="Times New Roman" w:hAnsi="Times New Roman" w:cs="Times New Roman"/>
          <w:sz w:val="24"/>
          <w:szCs w:val="24"/>
        </w:rPr>
        <w:t xml:space="preserve">ghlighting </w:t>
      </w:r>
      <w:r w:rsidR="0091023F">
        <w:rPr>
          <w:rFonts w:ascii="Times New Roman" w:hAnsi="Times New Roman" w:cs="Times New Roman"/>
          <w:sz w:val="24"/>
          <w:szCs w:val="24"/>
        </w:rPr>
        <w:t>political elites</w:t>
      </w:r>
      <w:r w:rsidR="00F809BB">
        <w:rPr>
          <w:rFonts w:ascii="Times New Roman" w:hAnsi="Times New Roman" w:cs="Times New Roman"/>
          <w:sz w:val="24"/>
          <w:szCs w:val="24"/>
        </w:rPr>
        <w:t>’ efforts</w:t>
      </w:r>
      <w:r w:rsidR="0091023F">
        <w:rPr>
          <w:rFonts w:ascii="Times New Roman" w:hAnsi="Times New Roman" w:cs="Times New Roman"/>
          <w:sz w:val="24"/>
          <w:szCs w:val="24"/>
        </w:rPr>
        <w:t xml:space="preserve"> </w:t>
      </w:r>
      <w:r w:rsidR="00F809BB">
        <w:rPr>
          <w:rFonts w:ascii="Times New Roman" w:hAnsi="Times New Roman" w:cs="Times New Roman"/>
          <w:sz w:val="24"/>
          <w:szCs w:val="24"/>
        </w:rPr>
        <w:t xml:space="preserve">to </w:t>
      </w:r>
      <w:r w:rsidR="00C41ABE">
        <w:rPr>
          <w:rFonts w:ascii="Times New Roman" w:hAnsi="Times New Roman" w:cs="Times New Roman"/>
          <w:sz w:val="24"/>
          <w:szCs w:val="24"/>
        </w:rPr>
        <w:t>block accountability measures and continue to benefit from a failure to reckon with the past. In particular</w:t>
      </w:r>
      <w:r w:rsidR="00F809BB">
        <w:rPr>
          <w:rFonts w:ascii="Times New Roman" w:hAnsi="Times New Roman" w:cs="Times New Roman"/>
          <w:sz w:val="24"/>
          <w:szCs w:val="24"/>
        </w:rPr>
        <w:t>,</w:t>
      </w:r>
      <w:r w:rsidR="00C41ABE">
        <w:rPr>
          <w:rFonts w:ascii="Times New Roman" w:hAnsi="Times New Roman" w:cs="Times New Roman"/>
          <w:sz w:val="24"/>
          <w:szCs w:val="24"/>
        </w:rPr>
        <w:t xml:space="preserve"> she examines how Moldova has chosen to engage with some transitional justice measures, such as rehabilitation, compensation</w:t>
      </w:r>
      <w:r w:rsidR="00F809BB">
        <w:rPr>
          <w:rFonts w:ascii="Times New Roman" w:hAnsi="Times New Roman" w:cs="Times New Roman"/>
          <w:sz w:val="24"/>
          <w:szCs w:val="24"/>
        </w:rPr>
        <w:t>,</w:t>
      </w:r>
      <w:r w:rsidR="00C41ABE">
        <w:rPr>
          <w:rFonts w:ascii="Times New Roman" w:hAnsi="Times New Roman" w:cs="Times New Roman"/>
          <w:sz w:val="24"/>
          <w:szCs w:val="24"/>
        </w:rPr>
        <w:t xml:space="preserve"> restitution</w:t>
      </w:r>
      <w:r w:rsidR="00F809BB">
        <w:rPr>
          <w:rFonts w:ascii="Times New Roman" w:hAnsi="Times New Roman" w:cs="Times New Roman"/>
          <w:sz w:val="24"/>
          <w:szCs w:val="24"/>
        </w:rPr>
        <w:t>,</w:t>
      </w:r>
      <w:r w:rsidR="00C41ABE">
        <w:rPr>
          <w:rFonts w:ascii="Times New Roman" w:hAnsi="Times New Roman" w:cs="Times New Roman"/>
          <w:sz w:val="24"/>
          <w:szCs w:val="24"/>
        </w:rPr>
        <w:t xml:space="preserve"> </w:t>
      </w:r>
      <w:r w:rsidR="00F809BB">
        <w:rPr>
          <w:rFonts w:ascii="Times New Roman" w:hAnsi="Times New Roman" w:cs="Times New Roman"/>
          <w:sz w:val="24"/>
          <w:szCs w:val="24"/>
        </w:rPr>
        <w:t>and</w:t>
      </w:r>
      <w:r w:rsidR="00C41ABE">
        <w:rPr>
          <w:rFonts w:ascii="Times New Roman" w:hAnsi="Times New Roman" w:cs="Times New Roman"/>
          <w:sz w:val="24"/>
          <w:szCs w:val="24"/>
        </w:rPr>
        <w:t xml:space="preserve"> history textbook rewriting, and rejected other measures such as lustration and file access</w:t>
      </w:r>
      <w:r w:rsidR="00C462BF">
        <w:rPr>
          <w:rFonts w:ascii="Times New Roman" w:hAnsi="Times New Roman" w:cs="Times New Roman"/>
          <w:sz w:val="24"/>
          <w:szCs w:val="24"/>
        </w:rPr>
        <w:t xml:space="preserve"> measures. In this way, Moldova’s political elites selectively engage with measures that do not threaten them and in some ways could benefit them by increasing their popular support. Additionally, </w:t>
      </w:r>
      <w:r w:rsidR="00C41ABE">
        <w:rPr>
          <w:rFonts w:ascii="Times New Roman" w:hAnsi="Times New Roman" w:cs="Times New Roman"/>
          <w:sz w:val="24"/>
          <w:szCs w:val="24"/>
        </w:rPr>
        <w:t xml:space="preserve">Stan’s chapter also </w:t>
      </w:r>
      <w:r w:rsidR="0091023F">
        <w:rPr>
          <w:rFonts w:ascii="Times New Roman" w:hAnsi="Times New Roman" w:cs="Times New Roman"/>
          <w:sz w:val="24"/>
          <w:szCs w:val="24"/>
        </w:rPr>
        <w:t>considers</w:t>
      </w:r>
      <w:r w:rsidR="00C41ABE">
        <w:rPr>
          <w:rFonts w:ascii="Times New Roman" w:hAnsi="Times New Roman" w:cs="Times New Roman"/>
          <w:sz w:val="24"/>
          <w:szCs w:val="24"/>
        </w:rPr>
        <w:t xml:space="preserve"> Moldova’s multiple layered pasts, </w:t>
      </w:r>
      <w:r w:rsidR="00C41ABE">
        <w:rPr>
          <w:rFonts w:ascii="Times New Roman" w:hAnsi="Times New Roman" w:cs="Times New Roman"/>
          <w:sz w:val="24"/>
          <w:szCs w:val="24"/>
        </w:rPr>
        <w:lastRenderedPageBreak/>
        <w:t>including abuses committed during and after W</w:t>
      </w:r>
      <w:r w:rsidR="00F809BB">
        <w:rPr>
          <w:rFonts w:ascii="Times New Roman" w:hAnsi="Times New Roman" w:cs="Times New Roman"/>
          <w:sz w:val="24"/>
          <w:szCs w:val="24"/>
        </w:rPr>
        <w:t xml:space="preserve">orld </w:t>
      </w:r>
      <w:r w:rsidR="00C41ABE">
        <w:rPr>
          <w:rFonts w:ascii="Times New Roman" w:hAnsi="Times New Roman" w:cs="Times New Roman"/>
          <w:sz w:val="24"/>
          <w:szCs w:val="24"/>
        </w:rPr>
        <w:t>W</w:t>
      </w:r>
      <w:r w:rsidR="00F809BB">
        <w:rPr>
          <w:rFonts w:ascii="Times New Roman" w:hAnsi="Times New Roman" w:cs="Times New Roman"/>
          <w:sz w:val="24"/>
          <w:szCs w:val="24"/>
        </w:rPr>
        <w:t xml:space="preserve">ar </w:t>
      </w:r>
      <w:r w:rsidR="00C41ABE">
        <w:rPr>
          <w:rFonts w:ascii="Times New Roman" w:hAnsi="Times New Roman" w:cs="Times New Roman"/>
          <w:sz w:val="24"/>
          <w:szCs w:val="24"/>
        </w:rPr>
        <w:t xml:space="preserve">II, abuses committed under post-war Soviet occupation, as well as the rights violations committed after Moldovan independence and related to the conflict </w:t>
      </w:r>
      <w:r w:rsidR="00C41ABE" w:rsidRPr="00F809BB">
        <w:rPr>
          <w:rFonts w:ascii="Times New Roman" w:hAnsi="Times New Roman" w:cs="Times New Roman"/>
          <w:sz w:val="24"/>
          <w:szCs w:val="24"/>
        </w:rPr>
        <w:t xml:space="preserve">with </w:t>
      </w:r>
      <w:proofErr w:type="spellStart"/>
      <w:r w:rsidR="00C41ABE" w:rsidRPr="00C60D6E">
        <w:rPr>
          <w:rFonts w:ascii="Times New Roman" w:hAnsi="Times New Roman" w:cs="Times New Roman"/>
          <w:sz w:val="24"/>
          <w:szCs w:val="24"/>
        </w:rPr>
        <w:t>Transnistria</w:t>
      </w:r>
      <w:proofErr w:type="spellEnd"/>
      <w:r w:rsidR="00C41ABE" w:rsidRPr="00F809BB">
        <w:rPr>
          <w:rFonts w:ascii="Times New Roman" w:hAnsi="Times New Roman" w:cs="Times New Roman"/>
          <w:sz w:val="24"/>
          <w:szCs w:val="24"/>
        </w:rPr>
        <w:t xml:space="preserve">. </w:t>
      </w:r>
      <w:r w:rsidR="00C462BF" w:rsidRPr="00475D85">
        <w:rPr>
          <w:rFonts w:ascii="Times New Roman" w:hAnsi="Times New Roman" w:cs="Times New Roman"/>
          <w:sz w:val="24"/>
          <w:szCs w:val="24"/>
        </w:rPr>
        <w:t xml:space="preserve">She documents that </w:t>
      </w:r>
      <w:r w:rsidR="00C462BF" w:rsidRPr="00C60D6E">
        <w:rPr>
          <w:rFonts w:ascii="Times New Roman" w:hAnsi="Times New Roman" w:cs="Times New Roman"/>
          <w:sz w:val="24"/>
          <w:szCs w:val="24"/>
        </w:rPr>
        <w:t xml:space="preserve">Moldova’s reckoning programs of rehabilitation, </w:t>
      </w:r>
      <w:proofErr w:type="spellStart"/>
      <w:r w:rsidR="00C462BF" w:rsidRPr="00C60D6E">
        <w:rPr>
          <w:rFonts w:ascii="Times New Roman" w:hAnsi="Times New Roman" w:cs="Times New Roman"/>
          <w:sz w:val="24"/>
          <w:szCs w:val="24"/>
        </w:rPr>
        <w:t>memorialization</w:t>
      </w:r>
      <w:proofErr w:type="spellEnd"/>
      <w:r w:rsidR="00475D85">
        <w:rPr>
          <w:rFonts w:ascii="Times New Roman" w:hAnsi="Times New Roman" w:cs="Times New Roman"/>
          <w:sz w:val="24"/>
          <w:szCs w:val="24"/>
        </w:rPr>
        <w:t>,</w:t>
      </w:r>
      <w:r w:rsidR="00C462BF" w:rsidRPr="00C60D6E">
        <w:rPr>
          <w:rFonts w:ascii="Times New Roman" w:hAnsi="Times New Roman" w:cs="Times New Roman"/>
          <w:sz w:val="24"/>
          <w:szCs w:val="24"/>
        </w:rPr>
        <w:t xml:space="preserve"> and commemoration selectively prioritized the Stalinist past and ignored the human rights violations perpetrated by later Soviet leaders, in a manner seen in other FSU cases. </w:t>
      </w:r>
      <w:r w:rsidR="00C41ABE" w:rsidRPr="00F809BB">
        <w:rPr>
          <w:rFonts w:ascii="Times New Roman" w:hAnsi="Times New Roman" w:cs="Times New Roman"/>
          <w:sz w:val="24"/>
          <w:szCs w:val="24"/>
        </w:rPr>
        <w:t xml:space="preserve">As such, her chapter resonates with </w:t>
      </w:r>
      <w:r w:rsidR="0091023F" w:rsidRPr="00475D85">
        <w:rPr>
          <w:rFonts w:ascii="Times New Roman" w:hAnsi="Times New Roman" w:cs="Times New Roman"/>
          <w:sz w:val="24"/>
          <w:szCs w:val="24"/>
        </w:rPr>
        <w:t>the Russian, Ukrainian, Georgian</w:t>
      </w:r>
      <w:r w:rsidR="00475D85">
        <w:rPr>
          <w:rFonts w:ascii="Times New Roman" w:hAnsi="Times New Roman" w:cs="Times New Roman"/>
          <w:sz w:val="24"/>
          <w:szCs w:val="24"/>
        </w:rPr>
        <w:t>,</w:t>
      </w:r>
      <w:r w:rsidR="0091023F" w:rsidRPr="00475D85">
        <w:rPr>
          <w:rFonts w:ascii="Times New Roman" w:hAnsi="Times New Roman" w:cs="Times New Roman"/>
          <w:sz w:val="24"/>
          <w:szCs w:val="24"/>
        </w:rPr>
        <w:t xml:space="preserve"> and Baltic cases </w:t>
      </w:r>
      <w:r w:rsidR="00C41ABE" w:rsidRPr="00C60D6E">
        <w:rPr>
          <w:rFonts w:ascii="Times New Roman" w:hAnsi="Times New Roman" w:cs="Times New Roman"/>
          <w:sz w:val="24"/>
          <w:szCs w:val="24"/>
        </w:rPr>
        <w:t>in explicating how unaddressed pasts are entwined, affecting any transitional justice efforts moving forward.</w:t>
      </w:r>
    </w:p>
    <w:p w:rsidR="0029277E" w:rsidRPr="008C1EA3" w:rsidRDefault="0029277E" w:rsidP="007F73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rFonts w:ascii="Times New Roman" w:hAnsi="Times New Roman" w:cs="Times New Roman"/>
          <w:sz w:val="24"/>
          <w:szCs w:val="24"/>
        </w:rPr>
      </w:pPr>
      <w:r w:rsidRPr="00C60D6E">
        <w:rPr>
          <w:rFonts w:ascii="Times New Roman" w:hAnsi="Times New Roman" w:cs="Times New Roman"/>
          <w:sz w:val="24"/>
          <w:szCs w:val="24"/>
        </w:rPr>
        <w:t xml:space="preserve">Nelly </w:t>
      </w:r>
      <w:proofErr w:type="spellStart"/>
      <w:r w:rsidRPr="00C60D6E">
        <w:rPr>
          <w:rFonts w:ascii="Times New Roman" w:hAnsi="Times New Roman" w:cs="Times New Roman"/>
          <w:sz w:val="24"/>
          <w:szCs w:val="24"/>
        </w:rPr>
        <w:t>Bekus</w:t>
      </w:r>
      <w:proofErr w:type="spellEnd"/>
      <w:r w:rsidRPr="00C60D6E">
        <w:rPr>
          <w:rFonts w:ascii="Times New Roman" w:hAnsi="Times New Roman" w:cs="Times New Roman"/>
          <w:sz w:val="24"/>
          <w:szCs w:val="24"/>
        </w:rPr>
        <w:t xml:space="preserve"> </w:t>
      </w:r>
      <w:r w:rsidR="00822201" w:rsidRPr="00C60D6E">
        <w:rPr>
          <w:rFonts w:ascii="Times New Roman" w:hAnsi="Times New Roman" w:cs="Times New Roman"/>
          <w:sz w:val="24"/>
          <w:szCs w:val="24"/>
        </w:rPr>
        <w:t>presents the under-examined case of Belarus</w:t>
      </w:r>
      <w:r w:rsidR="00822201">
        <w:rPr>
          <w:rFonts w:ascii="Times New Roman" w:hAnsi="Times New Roman" w:cs="Times New Roman"/>
          <w:sz w:val="24"/>
        </w:rPr>
        <w:t xml:space="preserve"> in her chapter</w:t>
      </w:r>
      <w:r>
        <w:rPr>
          <w:rFonts w:ascii="Times New Roman" w:hAnsi="Times New Roman" w:cs="Times New Roman"/>
          <w:sz w:val="24"/>
        </w:rPr>
        <w:t xml:space="preserve"> “Historical Reckoning in Belarus</w:t>
      </w:r>
      <w:r w:rsidR="00422790">
        <w:rPr>
          <w:rFonts w:ascii="Times New Roman" w:hAnsi="Times New Roman" w:cs="Times New Roman"/>
          <w:sz w:val="24"/>
        </w:rPr>
        <w:t>.</w:t>
      </w:r>
      <w:r>
        <w:rPr>
          <w:rFonts w:ascii="Times New Roman" w:hAnsi="Times New Roman" w:cs="Times New Roman"/>
          <w:sz w:val="24"/>
        </w:rPr>
        <w:t xml:space="preserve">” </w:t>
      </w:r>
      <w:r w:rsidR="00C40693">
        <w:rPr>
          <w:rFonts w:ascii="Times New Roman" w:hAnsi="Times New Roman" w:cs="Times New Roman"/>
          <w:sz w:val="24"/>
        </w:rPr>
        <w:t>She</w:t>
      </w:r>
      <w:r w:rsidR="00422790">
        <w:rPr>
          <w:rFonts w:ascii="Times New Roman" w:hAnsi="Times New Roman" w:cs="Times New Roman"/>
          <w:sz w:val="24"/>
        </w:rPr>
        <w:t xml:space="preserve"> documents </w:t>
      </w:r>
      <w:r w:rsidR="00822201">
        <w:rPr>
          <w:rFonts w:ascii="Times New Roman" w:hAnsi="Times New Roman" w:cs="Times New Roman"/>
          <w:sz w:val="24"/>
        </w:rPr>
        <w:t>a significant</w:t>
      </w:r>
      <w:r w:rsidR="00422790">
        <w:rPr>
          <w:rFonts w:ascii="Times New Roman" w:hAnsi="Times New Roman" w:cs="Times New Roman"/>
          <w:sz w:val="24"/>
        </w:rPr>
        <w:t xml:space="preserve"> number</w:t>
      </w:r>
      <w:r w:rsidR="00822201">
        <w:rPr>
          <w:rFonts w:ascii="Times New Roman" w:hAnsi="Times New Roman" w:cs="Times New Roman"/>
          <w:sz w:val="24"/>
        </w:rPr>
        <w:t xml:space="preserve"> of soft transitional justice</w:t>
      </w:r>
      <w:r w:rsidR="00422790">
        <w:rPr>
          <w:rFonts w:ascii="Times New Roman" w:hAnsi="Times New Roman" w:cs="Times New Roman"/>
          <w:sz w:val="24"/>
        </w:rPr>
        <w:t xml:space="preserve"> measures, including commemorative events and exhibitions, alternative truth-telling and </w:t>
      </w:r>
      <w:proofErr w:type="spellStart"/>
      <w:r w:rsidR="00422790">
        <w:rPr>
          <w:rFonts w:ascii="Times New Roman" w:hAnsi="Times New Roman" w:cs="Times New Roman"/>
          <w:sz w:val="24"/>
        </w:rPr>
        <w:t>memorialization</w:t>
      </w:r>
      <w:proofErr w:type="spellEnd"/>
      <w:r w:rsidR="00422790">
        <w:rPr>
          <w:rFonts w:ascii="Times New Roman" w:hAnsi="Times New Roman" w:cs="Times New Roman"/>
          <w:sz w:val="24"/>
        </w:rPr>
        <w:t xml:space="preserve"> programs, and even a citizen organized tribunal, that have</w:t>
      </w:r>
      <w:r w:rsidR="00822201">
        <w:rPr>
          <w:rFonts w:ascii="Times New Roman" w:hAnsi="Times New Roman" w:cs="Times New Roman"/>
          <w:sz w:val="24"/>
        </w:rPr>
        <w:t xml:space="preserve"> largely gone unnoticed by the international community. </w:t>
      </w:r>
      <w:r>
        <w:rPr>
          <w:rFonts w:ascii="Times New Roman" w:hAnsi="Times New Roman" w:cs="Times New Roman"/>
          <w:sz w:val="24"/>
        </w:rPr>
        <w:t xml:space="preserve">In comparison to the dominance of state-led narratives in Russia, </w:t>
      </w:r>
      <w:proofErr w:type="spellStart"/>
      <w:r>
        <w:rPr>
          <w:rFonts w:ascii="Times New Roman" w:hAnsi="Times New Roman" w:cs="Times New Roman"/>
          <w:sz w:val="24"/>
        </w:rPr>
        <w:t>Bekus</w:t>
      </w:r>
      <w:proofErr w:type="spellEnd"/>
      <w:r>
        <w:rPr>
          <w:rFonts w:ascii="Times New Roman" w:hAnsi="Times New Roman" w:cs="Times New Roman"/>
          <w:sz w:val="24"/>
        </w:rPr>
        <w:t xml:space="preserve"> explores the efforts of non-state actors engag</w:t>
      </w:r>
      <w:r w:rsidR="001B2E6A">
        <w:rPr>
          <w:rFonts w:ascii="Times New Roman" w:hAnsi="Times New Roman" w:cs="Times New Roman"/>
          <w:sz w:val="24"/>
        </w:rPr>
        <w:t>ing in truth-</w:t>
      </w:r>
      <w:r>
        <w:rPr>
          <w:rFonts w:ascii="Times New Roman" w:hAnsi="Times New Roman" w:cs="Times New Roman"/>
          <w:sz w:val="24"/>
        </w:rPr>
        <w:t xml:space="preserve">telling and </w:t>
      </w:r>
      <w:proofErr w:type="spellStart"/>
      <w:r>
        <w:rPr>
          <w:rFonts w:ascii="Times New Roman" w:hAnsi="Times New Roman" w:cs="Times New Roman"/>
          <w:sz w:val="24"/>
        </w:rPr>
        <w:t>memorialization</w:t>
      </w:r>
      <w:proofErr w:type="spellEnd"/>
      <w:r>
        <w:rPr>
          <w:rFonts w:ascii="Times New Roman" w:hAnsi="Times New Roman" w:cs="Times New Roman"/>
          <w:sz w:val="24"/>
        </w:rPr>
        <w:t xml:space="preserve"> efforts to advance an ‘imagined’ Belarusian transition narrative. While efforts to engage in transitional justice were not </w:t>
      </w:r>
      <w:r w:rsidR="0048099B">
        <w:rPr>
          <w:rFonts w:ascii="Times New Roman" w:hAnsi="Times New Roman" w:cs="Times New Roman"/>
          <w:sz w:val="24"/>
        </w:rPr>
        <w:t xml:space="preserve">generally </w:t>
      </w:r>
      <w:r>
        <w:rPr>
          <w:rFonts w:ascii="Times New Roman" w:hAnsi="Times New Roman" w:cs="Times New Roman"/>
          <w:sz w:val="24"/>
        </w:rPr>
        <w:t xml:space="preserve">popular across society, various non-state actors have managed to advance and popularize softer measures. This bottom-up push for a reimagining of history is not necessarily benign, despite the involvement of non-state actors. On the contrary, </w:t>
      </w:r>
      <w:proofErr w:type="spellStart"/>
      <w:r>
        <w:rPr>
          <w:rFonts w:ascii="Times New Roman" w:hAnsi="Times New Roman" w:cs="Times New Roman"/>
          <w:sz w:val="24"/>
        </w:rPr>
        <w:t>Bekus</w:t>
      </w:r>
      <w:proofErr w:type="spellEnd"/>
      <w:r>
        <w:rPr>
          <w:rFonts w:ascii="Times New Roman" w:hAnsi="Times New Roman" w:cs="Times New Roman"/>
          <w:sz w:val="24"/>
        </w:rPr>
        <w:t xml:space="preserve"> explains how ethnocentric arguments are being </w:t>
      </w:r>
      <w:proofErr w:type="spellStart"/>
      <w:r>
        <w:rPr>
          <w:rFonts w:ascii="Times New Roman" w:hAnsi="Times New Roman" w:cs="Times New Roman"/>
          <w:sz w:val="24"/>
        </w:rPr>
        <w:t>instrumentalized</w:t>
      </w:r>
      <w:proofErr w:type="spellEnd"/>
      <w:r>
        <w:rPr>
          <w:rFonts w:ascii="Times New Roman" w:hAnsi="Times New Roman" w:cs="Times New Roman"/>
          <w:sz w:val="24"/>
        </w:rPr>
        <w:t xml:space="preserve"> by civil society groups to advance a narrative externalizing blame on Russia and the Soviets for excesses committed in the past, and in this way valorizing Belarus and its victimhood. </w:t>
      </w:r>
      <w:proofErr w:type="spellStart"/>
      <w:r>
        <w:rPr>
          <w:rFonts w:ascii="Times New Roman" w:hAnsi="Times New Roman" w:cs="Times New Roman"/>
          <w:sz w:val="24"/>
        </w:rPr>
        <w:t>Bekus</w:t>
      </w:r>
      <w:proofErr w:type="spellEnd"/>
      <w:r>
        <w:rPr>
          <w:rFonts w:ascii="Times New Roman" w:hAnsi="Times New Roman" w:cs="Times New Roman"/>
          <w:sz w:val="24"/>
        </w:rPr>
        <w:t xml:space="preserve">’ chapter presents a cautionary reminder that civil society groups can also advance distorted national narratives to fit parochial political agendas. In other words, while there is evidence in the post-Soviet space of state-led </w:t>
      </w:r>
      <w:r>
        <w:rPr>
          <w:rFonts w:ascii="Times New Roman" w:hAnsi="Times New Roman" w:cs="Times New Roman"/>
          <w:sz w:val="24"/>
        </w:rPr>
        <w:lastRenderedPageBreak/>
        <w:t>manipulation and distortion of historical memory, civil society groups can also be guilty of such historical manipula</w:t>
      </w:r>
      <w:r w:rsidRPr="008C1EA3">
        <w:rPr>
          <w:rFonts w:ascii="Times New Roman" w:hAnsi="Times New Roman" w:cs="Times New Roman"/>
          <w:sz w:val="24"/>
        </w:rPr>
        <w:t>tion in the way in which</w:t>
      </w:r>
      <w:r w:rsidRPr="008C1EA3">
        <w:rPr>
          <w:rFonts w:ascii="Times New Roman" w:hAnsi="Times New Roman" w:cs="Times New Roman"/>
          <w:sz w:val="24"/>
          <w:szCs w:val="24"/>
        </w:rPr>
        <w:t xml:space="preserve"> previous abuses are selected while others are obscured.</w:t>
      </w:r>
    </w:p>
    <w:p w:rsidR="00C5059D" w:rsidRDefault="00B52350" w:rsidP="007F7325">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shd w:val="clear" w:color="auto" w:fill="FFFFFF"/>
        </w:rPr>
        <w:t>In “Confronting the Soviet and Post-Soviet Past in Georgia,”</w:t>
      </w:r>
      <w:r w:rsidRPr="002D482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Robert Austin explains </w:t>
      </w:r>
      <w:r w:rsidR="00C93854" w:rsidRPr="00C93854">
        <w:rPr>
          <w:rFonts w:ascii="Times New Roman" w:hAnsi="Times New Roman" w:cs="Times New Roman"/>
          <w:sz w:val="24"/>
          <w:szCs w:val="24"/>
          <w:shd w:val="clear" w:color="auto" w:fill="FFFFFF"/>
        </w:rPr>
        <w:t xml:space="preserve">that </w:t>
      </w:r>
      <w:r w:rsidR="00C93854" w:rsidRPr="00C93854">
        <w:rPr>
          <w:rFonts w:ascii="Times New Roman" w:hAnsi="Times New Roman" w:cs="Times New Roman"/>
          <w:sz w:val="24"/>
          <w:szCs w:val="24"/>
        </w:rPr>
        <w:t>u</w:t>
      </w:r>
      <w:r w:rsidR="00583661" w:rsidRPr="00C93854">
        <w:rPr>
          <w:rFonts w:ascii="Times New Roman" w:hAnsi="Times New Roman" w:cs="Times New Roman"/>
          <w:sz w:val="24"/>
          <w:szCs w:val="24"/>
        </w:rPr>
        <w:t xml:space="preserve">nder </w:t>
      </w:r>
      <w:proofErr w:type="spellStart"/>
      <w:r w:rsidR="00583661" w:rsidRPr="00C93854">
        <w:rPr>
          <w:rFonts w:ascii="Times New Roman" w:hAnsi="Times New Roman" w:cs="Times New Roman"/>
          <w:sz w:val="24"/>
          <w:szCs w:val="24"/>
        </w:rPr>
        <w:t>Mikheil</w:t>
      </w:r>
      <w:proofErr w:type="spellEnd"/>
      <w:r w:rsidR="00583661" w:rsidRPr="00C93854">
        <w:rPr>
          <w:rFonts w:ascii="Times New Roman" w:hAnsi="Times New Roman" w:cs="Times New Roman"/>
          <w:sz w:val="24"/>
          <w:szCs w:val="24"/>
        </w:rPr>
        <w:t xml:space="preserve"> </w:t>
      </w:r>
      <w:proofErr w:type="spellStart"/>
      <w:r w:rsidR="00583661" w:rsidRPr="00C93854">
        <w:rPr>
          <w:rFonts w:ascii="Times New Roman" w:hAnsi="Times New Roman" w:cs="Times New Roman"/>
          <w:sz w:val="24"/>
          <w:szCs w:val="24"/>
        </w:rPr>
        <w:t>Saakashvili</w:t>
      </w:r>
      <w:proofErr w:type="spellEnd"/>
      <w:r w:rsidR="00583661" w:rsidRPr="00C93854">
        <w:rPr>
          <w:rFonts w:ascii="Times New Roman" w:hAnsi="Times New Roman" w:cs="Times New Roman"/>
          <w:sz w:val="24"/>
          <w:szCs w:val="24"/>
        </w:rPr>
        <w:t>, Georgia embarked on various economic refor</w:t>
      </w:r>
      <w:r>
        <w:rPr>
          <w:rFonts w:ascii="Times New Roman" w:hAnsi="Times New Roman" w:cs="Times New Roman"/>
          <w:sz w:val="24"/>
          <w:szCs w:val="24"/>
        </w:rPr>
        <w:t>ms and anti-corruption measures</w:t>
      </w:r>
      <w:r w:rsidR="00583661" w:rsidRPr="00C93854">
        <w:rPr>
          <w:rFonts w:ascii="Times New Roman" w:hAnsi="Times New Roman" w:cs="Times New Roman"/>
          <w:sz w:val="24"/>
          <w:szCs w:val="24"/>
        </w:rPr>
        <w:t xml:space="preserve"> </w:t>
      </w:r>
      <w:r w:rsidR="009E147B" w:rsidRPr="00C93854">
        <w:rPr>
          <w:rFonts w:ascii="Times New Roman" w:hAnsi="Times New Roman" w:cs="Times New Roman"/>
          <w:sz w:val="24"/>
          <w:szCs w:val="24"/>
          <w:shd w:val="clear" w:color="auto" w:fill="FFFFFF"/>
        </w:rPr>
        <w:t>without transitional justice</w:t>
      </w:r>
      <w:r w:rsidR="0000412B" w:rsidRPr="00C93854">
        <w:rPr>
          <w:rFonts w:ascii="Times New Roman" w:hAnsi="Times New Roman" w:cs="Times New Roman"/>
          <w:sz w:val="24"/>
          <w:szCs w:val="24"/>
          <w:shd w:val="clear" w:color="auto" w:fill="FFFFFF"/>
        </w:rPr>
        <w:t xml:space="preserve">, in a curious example of the decoupling of economic reforms and transitional justice. </w:t>
      </w:r>
      <w:r w:rsidR="002D68ED" w:rsidRPr="00C93854">
        <w:rPr>
          <w:rFonts w:ascii="Times New Roman" w:hAnsi="Times New Roman" w:cs="Times New Roman"/>
          <w:sz w:val="24"/>
          <w:szCs w:val="24"/>
          <w:shd w:val="clear" w:color="auto" w:fill="FFFFFF"/>
        </w:rPr>
        <w:t>By 2017</w:t>
      </w:r>
      <w:r w:rsidR="0000412B" w:rsidRPr="00C93854">
        <w:rPr>
          <w:rFonts w:ascii="Times New Roman" w:hAnsi="Times New Roman" w:cs="Times New Roman"/>
          <w:sz w:val="24"/>
          <w:szCs w:val="24"/>
          <w:shd w:val="clear" w:color="auto" w:fill="FFFFFF"/>
        </w:rPr>
        <w:t>, Georgia had</w:t>
      </w:r>
      <w:r w:rsidR="00DA4F6A" w:rsidRPr="00C93854">
        <w:rPr>
          <w:rFonts w:ascii="Times New Roman" w:hAnsi="Times New Roman" w:cs="Times New Roman"/>
          <w:sz w:val="24"/>
          <w:szCs w:val="24"/>
          <w:shd w:val="clear" w:color="auto" w:fill="FFFFFF"/>
        </w:rPr>
        <w:t xml:space="preserve"> largely ignoring</w:t>
      </w:r>
      <w:r w:rsidR="009E147B" w:rsidRPr="00C93854">
        <w:rPr>
          <w:rFonts w:ascii="Times New Roman" w:hAnsi="Times New Roman" w:cs="Times New Roman"/>
          <w:sz w:val="24"/>
          <w:szCs w:val="24"/>
        </w:rPr>
        <w:t xml:space="preserve"> </w:t>
      </w:r>
      <w:r w:rsidR="0000412B" w:rsidRPr="00C93854">
        <w:rPr>
          <w:rFonts w:ascii="Times New Roman" w:hAnsi="Times New Roman" w:cs="Times New Roman"/>
          <w:sz w:val="24"/>
          <w:szCs w:val="24"/>
        </w:rPr>
        <w:t xml:space="preserve">both </w:t>
      </w:r>
      <w:r w:rsidR="009E147B" w:rsidRPr="00C93854">
        <w:rPr>
          <w:rFonts w:ascii="Times New Roman" w:hAnsi="Times New Roman" w:cs="Times New Roman"/>
          <w:sz w:val="24"/>
          <w:szCs w:val="24"/>
        </w:rPr>
        <w:t xml:space="preserve">the crimes of the Soviet dictatorship and the </w:t>
      </w:r>
      <w:r w:rsidR="0000412B" w:rsidRPr="00C93854">
        <w:rPr>
          <w:rFonts w:ascii="Times New Roman" w:hAnsi="Times New Roman" w:cs="Times New Roman"/>
          <w:sz w:val="24"/>
          <w:szCs w:val="24"/>
        </w:rPr>
        <w:t xml:space="preserve">crimes of the subsequent </w:t>
      </w:r>
      <w:r w:rsidR="009E147B" w:rsidRPr="00C93854">
        <w:rPr>
          <w:rFonts w:ascii="Times New Roman" w:hAnsi="Times New Roman" w:cs="Times New Roman"/>
          <w:sz w:val="24"/>
          <w:szCs w:val="24"/>
        </w:rPr>
        <w:t xml:space="preserve">post-communist regime of </w:t>
      </w:r>
      <w:proofErr w:type="spellStart"/>
      <w:r w:rsidR="009E147B" w:rsidRPr="00C93854">
        <w:rPr>
          <w:rFonts w:ascii="Times New Roman" w:hAnsi="Times New Roman" w:cs="Times New Roman"/>
          <w:sz w:val="24"/>
          <w:szCs w:val="24"/>
        </w:rPr>
        <w:t>Saakashvili</w:t>
      </w:r>
      <w:proofErr w:type="spellEnd"/>
      <w:r w:rsidR="009E147B" w:rsidRPr="00C93854">
        <w:rPr>
          <w:rFonts w:ascii="Times New Roman" w:hAnsi="Times New Roman" w:cs="Times New Roman"/>
          <w:sz w:val="24"/>
          <w:szCs w:val="24"/>
        </w:rPr>
        <w:t>.</w:t>
      </w:r>
      <w:r w:rsidR="002D68ED" w:rsidRPr="00C93854">
        <w:rPr>
          <w:rFonts w:ascii="Times New Roman" w:hAnsi="Times New Roman" w:cs="Times New Roman"/>
          <w:sz w:val="24"/>
          <w:szCs w:val="24"/>
        </w:rPr>
        <w:t xml:space="preserve"> Austin’s detailed narrative ensures that this limited transitional justice is understood as more than simply a state-led initiative to thwart accountability. He shows that </w:t>
      </w:r>
      <w:r w:rsidR="002D68ED" w:rsidRPr="00C93854">
        <w:rPr>
          <w:rFonts w:ascii="Times New Roman" w:hAnsi="Times New Roman" w:cs="Times New Roman"/>
          <w:color w:val="000000"/>
          <w:sz w:val="24"/>
          <w:szCs w:val="24"/>
        </w:rPr>
        <w:t>while th</w:t>
      </w:r>
      <w:r w:rsidR="00331BBF">
        <w:rPr>
          <w:rFonts w:ascii="Times New Roman" w:hAnsi="Times New Roman" w:cs="Times New Roman"/>
          <w:color w:val="000000"/>
          <w:sz w:val="24"/>
          <w:szCs w:val="24"/>
        </w:rPr>
        <w:t>e Georgian political elites</w:t>
      </w:r>
      <w:r w:rsidR="002D68ED" w:rsidRPr="00C93854">
        <w:rPr>
          <w:rFonts w:ascii="Times New Roman" w:hAnsi="Times New Roman" w:cs="Times New Roman"/>
          <w:color w:val="000000"/>
          <w:sz w:val="24"/>
          <w:szCs w:val="24"/>
        </w:rPr>
        <w:t xml:space="preserve"> engaged in some limited transitional justice, in which the Soviets and </w:t>
      </w:r>
      <w:r w:rsidR="00331BBF">
        <w:rPr>
          <w:rFonts w:ascii="Times New Roman" w:hAnsi="Times New Roman" w:cs="Times New Roman"/>
          <w:color w:val="000000"/>
          <w:sz w:val="24"/>
          <w:szCs w:val="24"/>
        </w:rPr>
        <w:t>Russians we</w:t>
      </w:r>
      <w:r w:rsidR="002D68ED" w:rsidRPr="00C93854">
        <w:rPr>
          <w:rFonts w:ascii="Times New Roman" w:hAnsi="Times New Roman" w:cs="Times New Roman"/>
          <w:color w:val="000000"/>
          <w:sz w:val="24"/>
          <w:szCs w:val="24"/>
        </w:rPr>
        <w:t>re blamed for past atrocities in Georg</w:t>
      </w:r>
      <w:r w:rsidR="00331BBF">
        <w:rPr>
          <w:rFonts w:ascii="Times New Roman" w:hAnsi="Times New Roman" w:cs="Times New Roman"/>
          <w:color w:val="000000"/>
          <w:sz w:val="24"/>
          <w:szCs w:val="24"/>
        </w:rPr>
        <w:t>ia, this anti-Soviet narrative wa</w:t>
      </w:r>
      <w:r w:rsidR="002D68ED" w:rsidRPr="00C93854">
        <w:rPr>
          <w:rFonts w:ascii="Times New Roman" w:hAnsi="Times New Roman" w:cs="Times New Roman"/>
          <w:color w:val="000000"/>
          <w:sz w:val="24"/>
          <w:szCs w:val="24"/>
        </w:rPr>
        <w:t xml:space="preserve">s </w:t>
      </w:r>
      <w:r w:rsidR="00331BBF">
        <w:rPr>
          <w:rFonts w:ascii="Times New Roman" w:hAnsi="Times New Roman" w:cs="Times New Roman"/>
          <w:color w:val="000000"/>
          <w:sz w:val="24"/>
          <w:szCs w:val="24"/>
        </w:rPr>
        <w:t>used</w:t>
      </w:r>
      <w:r w:rsidR="002D68ED" w:rsidRPr="00C93854">
        <w:rPr>
          <w:rFonts w:ascii="Times New Roman" w:hAnsi="Times New Roman" w:cs="Times New Roman"/>
          <w:color w:val="000000"/>
          <w:sz w:val="24"/>
          <w:szCs w:val="24"/>
        </w:rPr>
        <w:t xml:space="preserve"> to construct a sense of both Georgian victimhood at the hands of the Russians and a (re)</w:t>
      </w:r>
      <w:proofErr w:type="spellStart"/>
      <w:r w:rsidR="002D68ED" w:rsidRPr="00C93854">
        <w:rPr>
          <w:rFonts w:ascii="Times New Roman" w:hAnsi="Times New Roman" w:cs="Times New Roman"/>
          <w:color w:val="000000"/>
          <w:sz w:val="24"/>
          <w:szCs w:val="24"/>
        </w:rPr>
        <w:t>newed</w:t>
      </w:r>
      <w:proofErr w:type="spellEnd"/>
      <w:r w:rsidR="002D68ED" w:rsidRPr="00C93854">
        <w:rPr>
          <w:rFonts w:ascii="Times New Roman" w:hAnsi="Times New Roman" w:cs="Times New Roman"/>
          <w:color w:val="000000"/>
          <w:sz w:val="24"/>
          <w:szCs w:val="24"/>
        </w:rPr>
        <w:t xml:space="preserve"> sense of Georgian nationalism. While this might be politically desirable, given Georgia’s open conflicts with Russia, the Georgian people’s attitudes towards Stalin have reflected a more complicated picture.  Support for Stalin’s memory is still high in Georgia, with Stalin identified with the Soviet victory over Nazism, and as a favored Georgian son. As such there is bottom-up resistance to framing Stalin as an evil perpetrator of abuses. In short</w:t>
      </w:r>
      <w:r w:rsidR="008E174C">
        <w:rPr>
          <w:rFonts w:ascii="Times New Roman" w:hAnsi="Times New Roman" w:cs="Times New Roman"/>
          <w:color w:val="000000"/>
          <w:sz w:val="24"/>
          <w:szCs w:val="24"/>
        </w:rPr>
        <w:t>,</w:t>
      </w:r>
      <w:r w:rsidR="002D68ED" w:rsidRPr="00C93854">
        <w:rPr>
          <w:rFonts w:ascii="Times New Roman" w:hAnsi="Times New Roman" w:cs="Times New Roman"/>
          <w:color w:val="000000"/>
          <w:sz w:val="24"/>
          <w:szCs w:val="24"/>
        </w:rPr>
        <w:t xml:space="preserve"> there are both state and societal forces resistant to transitional justice, for different reasons, but resulting in limited accountability nonetheless.</w:t>
      </w:r>
    </w:p>
    <w:p w:rsidR="00B52350" w:rsidRDefault="00B52350" w:rsidP="007F7325">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is of note that </w:t>
      </w:r>
      <w:r w:rsidR="00C969A9">
        <w:rPr>
          <w:rFonts w:ascii="Times New Roman" w:hAnsi="Times New Roman" w:cs="Times New Roman"/>
          <w:sz w:val="24"/>
          <w:szCs w:val="24"/>
          <w:shd w:val="clear" w:color="auto" w:fill="FFFFFF"/>
        </w:rPr>
        <w:t xml:space="preserve">under </w:t>
      </w:r>
      <w:proofErr w:type="spellStart"/>
      <w:r w:rsidR="00C969A9" w:rsidRPr="00C93854">
        <w:rPr>
          <w:rFonts w:ascii="Times New Roman" w:hAnsi="Times New Roman" w:cs="Times New Roman"/>
          <w:sz w:val="24"/>
          <w:szCs w:val="24"/>
        </w:rPr>
        <w:t>Saakashvili</w:t>
      </w:r>
      <w:proofErr w:type="spellEnd"/>
      <w:r w:rsidR="00C969A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Georgia </w:t>
      </w:r>
      <w:r w:rsidR="00C969A9">
        <w:rPr>
          <w:rFonts w:ascii="Times New Roman" w:hAnsi="Times New Roman" w:cs="Times New Roman"/>
          <w:sz w:val="24"/>
          <w:szCs w:val="24"/>
          <w:shd w:val="clear" w:color="auto" w:fill="FFFFFF"/>
        </w:rPr>
        <w:t>wa</w:t>
      </w:r>
      <w:r>
        <w:rPr>
          <w:rFonts w:ascii="Times New Roman" w:hAnsi="Times New Roman" w:cs="Times New Roman"/>
          <w:sz w:val="24"/>
          <w:szCs w:val="24"/>
          <w:shd w:val="clear" w:color="auto" w:fill="FFFFFF"/>
        </w:rPr>
        <w:t>s an unusual case of expansive economic reforms, g</w:t>
      </w:r>
      <w:r w:rsidRPr="00C93854">
        <w:rPr>
          <w:rFonts w:ascii="Times New Roman" w:hAnsi="Times New Roman" w:cs="Times New Roman"/>
          <w:sz w:val="24"/>
          <w:szCs w:val="24"/>
        </w:rPr>
        <w:t>arnering much international praise</w:t>
      </w:r>
      <w:r>
        <w:rPr>
          <w:rFonts w:ascii="Times New Roman" w:hAnsi="Times New Roman" w:cs="Times New Roman"/>
          <w:sz w:val="24"/>
          <w:szCs w:val="24"/>
        </w:rPr>
        <w:t>,</w:t>
      </w:r>
      <w:r w:rsidRPr="00C93854">
        <w:rPr>
          <w:rFonts w:ascii="Times New Roman" w:hAnsi="Times New Roman" w:cs="Times New Roman"/>
          <w:sz w:val="24"/>
          <w:szCs w:val="24"/>
        </w:rPr>
        <w:t xml:space="preserve"> distinguishing Georgia from other post-Soviet republics</w:t>
      </w:r>
      <w:r>
        <w:rPr>
          <w:rFonts w:ascii="Times New Roman" w:hAnsi="Times New Roman" w:cs="Times New Roman"/>
          <w:sz w:val="24"/>
          <w:szCs w:val="24"/>
        </w:rPr>
        <w:t>, and yielding significant economic growth. However, the reforms</w:t>
      </w:r>
      <w:r w:rsidRPr="00C93854">
        <w:rPr>
          <w:rFonts w:ascii="Times New Roman" w:hAnsi="Times New Roman" w:cs="Times New Roman"/>
          <w:sz w:val="24"/>
          <w:szCs w:val="24"/>
        </w:rPr>
        <w:t xml:space="preserve"> were enacted in a quasi-democratic manner with noticeable rule of law derogations</w:t>
      </w:r>
      <w:r>
        <w:rPr>
          <w:rFonts w:ascii="Times New Roman" w:hAnsi="Times New Roman" w:cs="Times New Roman"/>
          <w:sz w:val="24"/>
          <w:szCs w:val="24"/>
        </w:rPr>
        <w:t xml:space="preserve"> and in the absence of </w:t>
      </w:r>
      <w:r>
        <w:rPr>
          <w:rFonts w:ascii="Times New Roman" w:hAnsi="Times New Roman" w:cs="Times New Roman"/>
          <w:sz w:val="24"/>
          <w:szCs w:val="24"/>
        </w:rPr>
        <w:lastRenderedPageBreak/>
        <w:t>transitional justice</w:t>
      </w:r>
      <w:r w:rsidRPr="00C93854">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Transitional justice measures are often framed as complements to economic, political, and social reform measures, and in some countries when anti-corruption measures are thwarted, transitional justice measures-- like lustration-- have been used in their place.</w:t>
      </w:r>
      <w:r>
        <w:rPr>
          <w:rStyle w:val="EndnoteReference"/>
          <w:rFonts w:ascii="Times New Roman" w:hAnsi="Times New Roman" w:cs="Times New Roman"/>
          <w:sz w:val="24"/>
          <w:szCs w:val="24"/>
          <w:shd w:val="clear" w:color="auto" w:fill="FFFFFF"/>
        </w:rPr>
        <w:endnoteReference w:id="5"/>
      </w:r>
      <w:r>
        <w:rPr>
          <w:rFonts w:ascii="Times New Roman" w:hAnsi="Times New Roman" w:cs="Times New Roman"/>
          <w:sz w:val="24"/>
          <w:szCs w:val="24"/>
          <w:shd w:val="clear" w:color="auto" w:fill="FFFFFF"/>
        </w:rPr>
        <w:t xml:space="preserve"> The success of certain transition goals such as economic development is often linked to transitional justice measures that force bureaucratic change, break up crony networks, promote accountability, and embrace transparency. Austin’s chapter on Georgia does not fit with this understanding of transitional justice as necessary complements to other reforms measures, prompting questions about the possibility for FSU regional reforms in the absence of complementary transitional justice measures.</w:t>
      </w:r>
    </w:p>
    <w:p w:rsidR="00547DAC" w:rsidRDefault="00336EE1" w:rsidP="007F7325">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Alexei </w:t>
      </w:r>
      <w:proofErr w:type="spellStart"/>
      <w:r>
        <w:rPr>
          <w:rFonts w:ascii="Times New Roman" w:hAnsi="Times New Roman" w:cs="Times New Roman"/>
          <w:sz w:val="24"/>
          <w:szCs w:val="24"/>
          <w:shd w:val="clear" w:color="auto" w:fill="FFFFFF"/>
        </w:rPr>
        <w:t>Trochev’s</w:t>
      </w:r>
      <w:proofErr w:type="spellEnd"/>
      <w:r>
        <w:rPr>
          <w:rFonts w:ascii="Times New Roman" w:hAnsi="Times New Roman" w:cs="Times New Roman"/>
          <w:sz w:val="24"/>
          <w:szCs w:val="24"/>
          <w:shd w:val="clear" w:color="auto" w:fill="FFFFFF"/>
        </w:rPr>
        <w:t xml:space="preserve"> chapter “Transitional Justice Attempts in Kazakhstan”</w:t>
      </w:r>
      <w:r w:rsidR="00547DAC">
        <w:rPr>
          <w:rFonts w:ascii="Times New Roman" w:hAnsi="Times New Roman" w:cs="Times New Roman"/>
          <w:sz w:val="24"/>
          <w:szCs w:val="24"/>
          <w:shd w:val="clear" w:color="auto" w:fill="FFFFFF"/>
        </w:rPr>
        <w:t xml:space="preserve"> </w:t>
      </w:r>
      <w:r w:rsidR="00350C90">
        <w:rPr>
          <w:rFonts w:ascii="Times New Roman" w:hAnsi="Times New Roman" w:cs="Times New Roman"/>
          <w:sz w:val="24"/>
          <w:szCs w:val="24"/>
          <w:shd w:val="clear" w:color="auto" w:fill="FFFFFF"/>
        </w:rPr>
        <w:t xml:space="preserve">reviews the </w:t>
      </w:r>
      <w:r w:rsidR="00350C90">
        <w:rPr>
          <w:rFonts w:ascii="Times New Roman" w:eastAsia="Times New Roman" w:hAnsi="Times New Roman" w:cs="Times New Roman"/>
          <w:sz w:val="24"/>
          <w:szCs w:val="24"/>
        </w:rPr>
        <w:t>elite-driven transitional justice efforts post-1991</w:t>
      </w:r>
      <w:r w:rsidRPr="00F5380B">
        <w:rPr>
          <w:rFonts w:ascii="Times New Roman" w:eastAsia="Times New Roman" w:hAnsi="Times New Roman" w:cs="Times New Roman"/>
          <w:sz w:val="24"/>
          <w:szCs w:val="24"/>
        </w:rPr>
        <w:t xml:space="preserve">, </w:t>
      </w:r>
      <w:r w:rsidR="00350C90">
        <w:rPr>
          <w:rFonts w:ascii="Times New Roman" w:eastAsia="Times New Roman" w:hAnsi="Times New Roman" w:cs="Times New Roman"/>
          <w:sz w:val="24"/>
          <w:szCs w:val="24"/>
        </w:rPr>
        <w:t xml:space="preserve">illustrating how they have been </w:t>
      </w:r>
      <w:r>
        <w:rPr>
          <w:rFonts w:ascii="Times New Roman" w:eastAsia="Times New Roman" w:hAnsi="Times New Roman" w:cs="Times New Roman"/>
          <w:sz w:val="24"/>
          <w:szCs w:val="24"/>
        </w:rPr>
        <w:t>largely symbolic</w:t>
      </w:r>
      <w:r w:rsidRPr="00F538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w:t>
      </w:r>
      <w:r w:rsidRPr="00F538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reactive to civil society</w:t>
      </w:r>
      <w:r w:rsidRPr="00F5380B">
        <w:rPr>
          <w:rFonts w:ascii="Times New Roman" w:eastAsia="Times New Roman" w:hAnsi="Times New Roman" w:cs="Times New Roman"/>
          <w:sz w:val="24"/>
          <w:szCs w:val="24"/>
        </w:rPr>
        <w:t xml:space="preserve"> demands</w:t>
      </w:r>
      <w:r>
        <w:rPr>
          <w:rFonts w:ascii="Times New Roman" w:eastAsia="Times New Roman" w:hAnsi="Times New Roman" w:cs="Times New Roman"/>
          <w:sz w:val="24"/>
          <w:szCs w:val="24"/>
        </w:rPr>
        <w:t xml:space="preserve">, and often only partially implemented or quickly abandoned. </w:t>
      </w:r>
      <w:proofErr w:type="gramStart"/>
      <w:r>
        <w:rPr>
          <w:rFonts w:ascii="Times New Roman" w:eastAsia="Times New Roman" w:hAnsi="Times New Roman" w:cs="Times New Roman"/>
          <w:sz w:val="24"/>
          <w:szCs w:val="24"/>
        </w:rPr>
        <w:t xml:space="preserve">Adopting an approach of </w:t>
      </w:r>
      <w:r w:rsidRPr="00F5380B">
        <w:rPr>
          <w:rFonts w:ascii="Times New Roman" w:eastAsia="Times New Roman" w:hAnsi="Times New Roman" w:cs="Times New Roman"/>
          <w:sz w:val="24"/>
          <w:szCs w:val="24"/>
        </w:rPr>
        <w:t>official</w:t>
      </w:r>
      <w:r>
        <w:rPr>
          <w:rFonts w:ascii="Times New Roman" w:eastAsia="Times New Roman" w:hAnsi="Times New Roman" w:cs="Times New Roman"/>
          <w:sz w:val="24"/>
          <w:szCs w:val="24"/>
        </w:rPr>
        <w:t>ly blaming</w:t>
      </w:r>
      <w:r w:rsidRPr="00F538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Soviet</w:t>
      </w:r>
      <w:r w:rsidRPr="00F5380B">
        <w:rPr>
          <w:rFonts w:ascii="Times New Roman" w:eastAsia="Times New Roman" w:hAnsi="Times New Roman" w:cs="Times New Roman"/>
          <w:sz w:val="24"/>
          <w:szCs w:val="24"/>
        </w:rPr>
        <w:t xml:space="preserve"> rulers </w:t>
      </w:r>
      <w:r>
        <w:rPr>
          <w:rFonts w:ascii="Times New Roman" w:eastAsia="Times New Roman" w:hAnsi="Times New Roman" w:cs="Times New Roman"/>
          <w:sz w:val="24"/>
          <w:szCs w:val="24"/>
        </w:rPr>
        <w:t xml:space="preserve">for past atrocities </w:t>
      </w:r>
      <w:r w:rsidRPr="00F5380B">
        <w:rPr>
          <w:rFonts w:ascii="Times New Roman" w:eastAsia="Times New Roman" w:hAnsi="Times New Roman" w:cs="Times New Roman"/>
          <w:sz w:val="24"/>
          <w:szCs w:val="24"/>
        </w:rPr>
        <w:t xml:space="preserve">without </w:t>
      </w:r>
      <w:r>
        <w:rPr>
          <w:rFonts w:ascii="Times New Roman" w:eastAsia="Times New Roman" w:hAnsi="Times New Roman" w:cs="Times New Roman"/>
          <w:sz w:val="24"/>
          <w:szCs w:val="24"/>
        </w:rPr>
        <w:t xml:space="preserve">actually </w:t>
      </w:r>
      <w:r w:rsidRPr="00F5380B">
        <w:rPr>
          <w:rFonts w:ascii="Times New Roman" w:eastAsia="Times New Roman" w:hAnsi="Times New Roman" w:cs="Times New Roman"/>
          <w:sz w:val="24"/>
          <w:szCs w:val="24"/>
        </w:rPr>
        <w:t xml:space="preserve">naming individuals </w:t>
      </w:r>
      <w:r>
        <w:rPr>
          <w:rFonts w:ascii="Times New Roman" w:eastAsia="Times New Roman" w:hAnsi="Times New Roman" w:cs="Times New Roman"/>
          <w:sz w:val="24"/>
          <w:szCs w:val="24"/>
        </w:rPr>
        <w:t>responsible for past abuses has allowed</w:t>
      </w:r>
      <w:r w:rsidRPr="00F5380B">
        <w:rPr>
          <w:rFonts w:ascii="Times New Roman" w:eastAsia="Times New Roman" w:hAnsi="Times New Roman" w:cs="Times New Roman"/>
          <w:sz w:val="24"/>
          <w:szCs w:val="24"/>
        </w:rPr>
        <w:t xml:space="preserve"> </w:t>
      </w:r>
      <w:r w:rsidR="00350C90">
        <w:rPr>
          <w:rFonts w:ascii="Times New Roman" w:eastAsia="Times New Roman" w:hAnsi="Times New Roman" w:cs="Times New Roman"/>
          <w:sz w:val="24"/>
          <w:szCs w:val="24"/>
        </w:rPr>
        <w:t xml:space="preserve">Kazakh elites to </w:t>
      </w:r>
      <w:proofErr w:type="spellStart"/>
      <w:r w:rsidR="00350C90">
        <w:rPr>
          <w:rFonts w:ascii="Times New Roman" w:eastAsia="Times New Roman" w:hAnsi="Times New Roman" w:cs="Times New Roman"/>
          <w:sz w:val="24"/>
          <w:szCs w:val="24"/>
        </w:rPr>
        <w:t>instrumentalize</w:t>
      </w:r>
      <w:proofErr w:type="spellEnd"/>
      <w:r w:rsidR="00350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transitional justice measures </w:t>
      </w:r>
      <w:r w:rsidR="00350C90">
        <w:rPr>
          <w:rFonts w:ascii="Times New Roman" w:eastAsia="Times New Roman" w:hAnsi="Times New Roman" w:cs="Times New Roman"/>
          <w:sz w:val="24"/>
          <w:szCs w:val="24"/>
        </w:rPr>
        <w:t>for political gain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00547DAC">
        <w:rPr>
          <w:rFonts w:ascii="Times New Roman" w:eastAsia="Times New Roman" w:hAnsi="Times New Roman" w:cs="Times New Roman"/>
          <w:sz w:val="24"/>
          <w:szCs w:val="24"/>
        </w:rPr>
        <w:t>rochev</w:t>
      </w:r>
      <w:proofErr w:type="spellEnd"/>
      <w:r w:rsidR="00547DAC">
        <w:rPr>
          <w:rFonts w:ascii="Times New Roman" w:eastAsia="Times New Roman" w:hAnsi="Times New Roman" w:cs="Times New Roman"/>
          <w:sz w:val="24"/>
          <w:szCs w:val="24"/>
        </w:rPr>
        <w:t xml:space="preserve"> shows how </w:t>
      </w:r>
      <w:r w:rsidRPr="00F5380B">
        <w:rPr>
          <w:rFonts w:ascii="Times New Roman" w:eastAsia="Times New Roman" w:hAnsi="Times New Roman" w:cs="Times New Roman"/>
          <w:sz w:val="24"/>
          <w:szCs w:val="24"/>
        </w:rPr>
        <w:t xml:space="preserve">post-Soviet rulers </w:t>
      </w:r>
      <w:r>
        <w:rPr>
          <w:rFonts w:ascii="Times New Roman" w:eastAsia="Times New Roman" w:hAnsi="Times New Roman" w:cs="Times New Roman"/>
          <w:sz w:val="24"/>
          <w:szCs w:val="24"/>
        </w:rPr>
        <w:t xml:space="preserve">have </w:t>
      </w:r>
      <w:r w:rsidRPr="00F5380B">
        <w:rPr>
          <w:rFonts w:ascii="Times New Roman" w:eastAsia="Times New Roman" w:hAnsi="Times New Roman" w:cs="Times New Roman"/>
          <w:sz w:val="24"/>
          <w:szCs w:val="24"/>
        </w:rPr>
        <w:t xml:space="preserve">used the rehabilitation campaigns to gain political capital </w:t>
      </w:r>
      <w:r>
        <w:rPr>
          <w:rFonts w:ascii="Times New Roman" w:eastAsia="Times New Roman" w:hAnsi="Times New Roman" w:cs="Times New Roman"/>
          <w:sz w:val="24"/>
          <w:szCs w:val="24"/>
        </w:rPr>
        <w:t>by</w:t>
      </w:r>
      <w:r w:rsidRPr="00F5380B">
        <w:rPr>
          <w:rFonts w:ascii="Times New Roman" w:eastAsia="Times New Roman" w:hAnsi="Times New Roman" w:cs="Times New Roman"/>
          <w:sz w:val="24"/>
          <w:szCs w:val="24"/>
        </w:rPr>
        <w:t xml:space="preserve"> presenting their nations as </w:t>
      </w:r>
      <w:r>
        <w:rPr>
          <w:rFonts w:ascii="Times New Roman" w:eastAsia="Times New Roman" w:hAnsi="Times New Roman" w:cs="Times New Roman"/>
          <w:sz w:val="24"/>
          <w:szCs w:val="24"/>
        </w:rPr>
        <w:t xml:space="preserve">victims of Soviet </w:t>
      </w:r>
      <w:r w:rsidRPr="00F5380B">
        <w:rPr>
          <w:rFonts w:ascii="Times New Roman" w:eastAsia="Times New Roman" w:hAnsi="Times New Roman" w:cs="Times New Roman"/>
          <w:sz w:val="24"/>
          <w:szCs w:val="24"/>
        </w:rPr>
        <w:t xml:space="preserve">rule rather than </w:t>
      </w:r>
      <w:r w:rsidR="00350C90">
        <w:rPr>
          <w:rFonts w:ascii="Times New Roman" w:eastAsia="Times New Roman" w:hAnsi="Times New Roman" w:cs="Times New Roman"/>
          <w:sz w:val="24"/>
          <w:szCs w:val="24"/>
        </w:rPr>
        <w:t xml:space="preserve">as authentic means of </w:t>
      </w:r>
      <w:r w:rsidRPr="00F5380B">
        <w:rPr>
          <w:rFonts w:ascii="Times New Roman" w:eastAsia="Times New Roman" w:hAnsi="Times New Roman" w:cs="Times New Roman"/>
          <w:sz w:val="24"/>
          <w:szCs w:val="24"/>
        </w:rPr>
        <w:t>seek</w:t>
      </w:r>
      <w:r>
        <w:rPr>
          <w:rFonts w:ascii="Times New Roman" w:eastAsia="Times New Roman" w:hAnsi="Times New Roman" w:cs="Times New Roman"/>
          <w:sz w:val="24"/>
          <w:szCs w:val="24"/>
        </w:rPr>
        <w:t>ing</w:t>
      </w:r>
      <w:r w:rsidRPr="00F5380B">
        <w:rPr>
          <w:rFonts w:ascii="Times New Roman" w:eastAsia="Times New Roman" w:hAnsi="Times New Roman" w:cs="Times New Roman"/>
          <w:sz w:val="24"/>
          <w:szCs w:val="24"/>
        </w:rPr>
        <w:t xml:space="preserve"> t</w:t>
      </w:r>
      <w:r w:rsidR="00547DAC">
        <w:rPr>
          <w:rFonts w:ascii="Times New Roman" w:eastAsia="Times New Roman" w:hAnsi="Times New Roman" w:cs="Times New Roman"/>
          <w:sz w:val="24"/>
          <w:szCs w:val="24"/>
        </w:rPr>
        <w:t>he truth or</w:t>
      </w:r>
      <w:r w:rsidRPr="00F5380B">
        <w:rPr>
          <w:rFonts w:ascii="Times New Roman" w:eastAsia="Times New Roman" w:hAnsi="Times New Roman" w:cs="Times New Roman"/>
          <w:sz w:val="24"/>
          <w:szCs w:val="24"/>
        </w:rPr>
        <w:t xml:space="preserve"> improv</w:t>
      </w:r>
      <w:r>
        <w:rPr>
          <w:rFonts w:ascii="Times New Roman" w:eastAsia="Times New Roman" w:hAnsi="Times New Roman" w:cs="Times New Roman"/>
          <w:sz w:val="24"/>
          <w:szCs w:val="24"/>
        </w:rPr>
        <w:t>ing</w:t>
      </w:r>
      <w:r w:rsidRPr="00F5380B">
        <w:rPr>
          <w:rFonts w:ascii="Times New Roman" w:eastAsia="Times New Roman" w:hAnsi="Times New Roman" w:cs="Times New Roman"/>
          <w:sz w:val="24"/>
          <w:szCs w:val="24"/>
        </w:rPr>
        <w:t xml:space="preserve"> accountability</w:t>
      </w:r>
      <w:r w:rsidR="00547DAC">
        <w:rPr>
          <w:rFonts w:ascii="Times New Roman" w:eastAsia="Times New Roman" w:hAnsi="Times New Roman" w:cs="Times New Roman"/>
          <w:sz w:val="24"/>
          <w:szCs w:val="24"/>
        </w:rPr>
        <w:t xml:space="preserve"> </w:t>
      </w:r>
      <w:r w:rsidR="00350C90">
        <w:rPr>
          <w:rFonts w:ascii="Times New Roman" w:eastAsia="Times New Roman" w:hAnsi="Times New Roman" w:cs="Times New Roman"/>
          <w:sz w:val="24"/>
          <w:szCs w:val="24"/>
        </w:rPr>
        <w:t>for</w:t>
      </w:r>
      <w:r w:rsidR="00547DAC">
        <w:rPr>
          <w:rFonts w:ascii="Times New Roman" w:eastAsia="Times New Roman" w:hAnsi="Times New Roman" w:cs="Times New Roman"/>
          <w:sz w:val="24"/>
          <w:szCs w:val="24"/>
        </w:rPr>
        <w:t xml:space="preserve"> victims and their families</w:t>
      </w:r>
      <w:r w:rsidRPr="00F538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 xml:space="preserve">Interestingly, </w:t>
      </w:r>
      <w:r w:rsidR="00350C90">
        <w:rPr>
          <w:rFonts w:ascii="Times New Roman" w:hAnsi="Times New Roman" w:cs="Times New Roman"/>
          <w:sz w:val="24"/>
          <w:szCs w:val="24"/>
          <w:shd w:val="clear" w:color="auto" w:fill="FFFFFF"/>
        </w:rPr>
        <w:t xml:space="preserve">juxtaposing </w:t>
      </w:r>
      <w:proofErr w:type="spellStart"/>
      <w:r>
        <w:rPr>
          <w:rFonts w:ascii="Times New Roman" w:hAnsi="Times New Roman" w:cs="Times New Roman"/>
          <w:sz w:val="24"/>
          <w:szCs w:val="24"/>
          <w:shd w:val="clear" w:color="auto" w:fill="FFFFFF"/>
        </w:rPr>
        <w:t>Trochev</w:t>
      </w:r>
      <w:r w:rsidR="00350C90">
        <w:rPr>
          <w:rFonts w:ascii="Times New Roman" w:hAnsi="Times New Roman" w:cs="Times New Roman"/>
          <w:sz w:val="24"/>
          <w:szCs w:val="24"/>
          <w:shd w:val="clear" w:color="auto" w:fill="FFFFFF"/>
        </w:rPr>
        <w:t>’s</w:t>
      </w:r>
      <w:proofErr w:type="spellEnd"/>
      <w:r w:rsidR="00350C90">
        <w:rPr>
          <w:rFonts w:ascii="Times New Roman" w:hAnsi="Times New Roman" w:cs="Times New Roman"/>
          <w:sz w:val="24"/>
          <w:szCs w:val="24"/>
          <w:shd w:val="clear" w:color="auto" w:fill="FFFFFF"/>
        </w:rPr>
        <w:t xml:space="preserve"> chapter against </w:t>
      </w:r>
      <w:proofErr w:type="spellStart"/>
      <w:r w:rsidR="00350C90">
        <w:rPr>
          <w:rFonts w:ascii="Times New Roman" w:hAnsi="Times New Roman" w:cs="Times New Roman"/>
          <w:sz w:val="24"/>
          <w:szCs w:val="24"/>
          <w:shd w:val="clear" w:color="auto" w:fill="FFFFFF"/>
        </w:rPr>
        <w:t>Lina</w:t>
      </w:r>
      <w:proofErr w:type="spellEnd"/>
      <w:r w:rsidR="00350C90">
        <w:rPr>
          <w:rFonts w:ascii="Times New Roman" w:hAnsi="Times New Roman" w:cs="Times New Roman"/>
          <w:sz w:val="24"/>
          <w:szCs w:val="24"/>
          <w:shd w:val="clear" w:color="auto" w:fill="FFFFFF"/>
        </w:rPr>
        <w:t xml:space="preserve"> </w:t>
      </w:r>
      <w:proofErr w:type="spellStart"/>
      <w:r w:rsidR="00350C90">
        <w:rPr>
          <w:rFonts w:ascii="Times New Roman" w:hAnsi="Times New Roman" w:cs="Times New Roman"/>
          <w:sz w:val="24"/>
          <w:szCs w:val="24"/>
          <w:shd w:val="clear" w:color="auto" w:fill="FFFFFF"/>
        </w:rPr>
        <w:t>Klymenko’s</w:t>
      </w:r>
      <w:proofErr w:type="spellEnd"/>
      <w:r w:rsidR="00350C90">
        <w:rPr>
          <w:rFonts w:ascii="Times New Roman" w:hAnsi="Times New Roman" w:cs="Times New Roman"/>
          <w:sz w:val="24"/>
          <w:szCs w:val="24"/>
          <w:shd w:val="clear" w:color="auto" w:fill="FFFFFF"/>
        </w:rPr>
        <w:t xml:space="preserve"> chapter on Ukraine</w:t>
      </w:r>
      <w:r>
        <w:rPr>
          <w:rFonts w:ascii="Times New Roman" w:hAnsi="Times New Roman" w:cs="Times New Roman"/>
          <w:sz w:val="24"/>
          <w:szCs w:val="24"/>
          <w:shd w:val="clear" w:color="auto" w:fill="FFFFFF"/>
        </w:rPr>
        <w:t xml:space="preserve"> </w:t>
      </w:r>
      <w:r w:rsidR="00350C90">
        <w:rPr>
          <w:rFonts w:ascii="Times New Roman" w:hAnsi="Times New Roman" w:cs="Times New Roman"/>
          <w:sz w:val="24"/>
          <w:szCs w:val="24"/>
          <w:shd w:val="clear" w:color="auto" w:fill="FFFFFF"/>
        </w:rPr>
        <w:t>illustrates divergent approaches to the same historical atrocities within the post-Soviet space. For example, t</w:t>
      </w:r>
      <w:r>
        <w:rPr>
          <w:rFonts w:ascii="Times New Roman" w:hAnsi="Times New Roman" w:cs="Times New Roman"/>
          <w:sz w:val="24"/>
          <w:szCs w:val="24"/>
          <w:shd w:val="clear" w:color="auto" w:fill="FFFFFF"/>
        </w:rPr>
        <w:t>he famine in the 1930s</w:t>
      </w:r>
      <w:r w:rsidR="00350C90">
        <w:rPr>
          <w:rFonts w:ascii="Times New Roman" w:hAnsi="Times New Roman" w:cs="Times New Roman"/>
          <w:sz w:val="24"/>
          <w:szCs w:val="24"/>
          <w:shd w:val="clear" w:color="auto" w:fill="FFFFFF"/>
        </w:rPr>
        <w:t xml:space="preserve"> has</w:t>
      </w:r>
      <w:r>
        <w:rPr>
          <w:rFonts w:ascii="Times New Roman" w:hAnsi="Times New Roman" w:cs="Times New Roman"/>
          <w:sz w:val="24"/>
          <w:szCs w:val="24"/>
          <w:shd w:val="clear" w:color="auto" w:fill="FFFFFF"/>
        </w:rPr>
        <w:t xml:space="preserve"> been addressed quite differently</w:t>
      </w:r>
      <w:r w:rsidR="00350C90">
        <w:rPr>
          <w:rFonts w:ascii="Times New Roman" w:hAnsi="Times New Roman" w:cs="Times New Roman"/>
          <w:sz w:val="24"/>
          <w:szCs w:val="24"/>
          <w:shd w:val="clear" w:color="auto" w:fill="FFFFFF"/>
        </w:rPr>
        <w:t xml:space="preserve"> in the two republics, with Ukraine officially naming</w:t>
      </w:r>
      <w:r>
        <w:rPr>
          <w:rFonts w:ascii="Times New Roman" w:hAnsi="Times New Roman" w:cs="Times New Roman"/>
          <w:sz w:val="24"/>
          <w:szCs w:val="24"/>
          <w:shd w:val="clear" w:color="auto" w:fill="FFFFFF"/>
        </w:rPr>
        <w:t xml:space="preserve"> this famine </w:t>
      </w:r>
      <w:r w:rsidR="00547DAC">
        <w:rPr>
          <w:rFonts w:ascii="Times New Roman" w:hAnsi="Times New Roman" w:cs="Times New Roman"/>
          <w:sz w:val="24"/>
          <w:szCs w:val="24"/>
          <w:shd w:val="clear" w:color="auto" w:fill="FFFFFF"/>
        </w:rPr>
        <w:t xml:space="preserve">as </w:t>
      </w:r>
      <w:r w:rsidR="00350C90">
        <w:rPr>
          <w:rFonts w:ascii="Times New Roman" w:hAnsi="Times New Roman" w:cs="Times New Roman"/>
          <w:sz w:val="24"/>
          <w:szCs w:val="24"/>
          <w:shd w:val="clear" w:color="auto" w:fill="FFFFFF"/>
        </w:rPr>
        <w:t>a case of genocide and Kazakhstan backing</w:t>
      </w:r>
      <w:r>
        <w:rPr>
          <w:rFonts w:ascii="Times New Roman" w:hAnsi="Times New Roman" w:cs="Times New Roman"/>
          <w:sz w:val="24"/>
          <w:szCs w:val="24"/>
          <w:shd w:val="clear" w:color="auto" w:fill="FFFFFF"/>
        </w:rPr>
        <w:t xml:space="preserve"> away from </w:t>
      </w:r>
      <w:r w:rsidR="00350C90">
        <w:rPr>
          <w:rFonts w:ascii="Times New Roman" w:hAnsi="Times New Roman" w:cs="Times New Roman"/>
          <w:sz w:val="24"/>
          <w:szCs w:val="24"/>
          <w:shd w:val="clear" w:color="auto" w:fill="FFFFFF"/>
        </w:rPr>
        <w:t xml:space="preserve">such an official designation. </w:t>
      </w:r>
      <w:proofErr w:type="spellStart"/>
      <w:r w:rsidR="00350C90">
        <w:rPr>
          <w:rFonts w:ascii="Times New Roman" w:hAnsi="Times New Roman" w:cs="Times New Roman"/>
          <w:sz w:val="24"/>
          <w:szCs w:val="24"/>
          <w:shd w:val="clear" w:color="auto" w:fill="FFFFFF"/>
        </w:rPr>
        <w:t>Trochev</w:t>
      </w:r>
      <w:proofErr w:type="spellEnd"/>
      <w:r w:rsidR="00350C90">
        <w:rPr>
          <w:rFonts w:ascii="Times New Roman" w:hAnsi="Times New Roman" w:cs="Times New Roman"/>
          <w:sz w:val="24"/>
          <w:szCs w:val="24"/>
          <w:shd w:val="clear" w:color="auto" w:fill="FFFFFF"/>
        </w:rPr>
        <w:t xml:space="preserve"> examines other state-led </w:t>
      </w:r>
      <w:r>
        <w:rPr>
          <w:rFonts w:ascii="Times New Roman" w:hAnsi="Times New Roman" w:cs="Times New Roman"/>
          <w:sz w:val="24"/>
          <w:szCs w:val="24"/>
          <w:shd w:val="clear" w:color="auto" w:fill="FFFFFF"/>
        </w:rPr>
        <w:t>atrocities</w:t>
      </w:r>
      <w:r w:rsidR="00350C90">
        <w:rPr>
          <w:rFonts w:ascii="Times New Roman" w:hAnsi="Times New Roman" w:cs="Times New Roman"/>
          <w:sz w:val="24"/>
          <w:szCs w:val="24"/>
          <w:shd w:val="clear" w:color="auto" w:fill="FFFFFF"/>
        </w:rPr>
        <w:t xml:space="preserve"> in Soviet Kazakhstan, including riots</w:t>
      </w:r>
      <w:r>
        <w:rPr>
          <w:rFonts w:ascii="Times New Roman" w:hAnsi="Times New Roman" w:cs="Times New Roman"/>
          <w:sz w:val="24"/>
          <w:szCs w:val="24"/>
          <w:shd w:val="clear" w:color="auto" w:fill="FFFFFF"/>
        </w:rPr>
        <w:t xml:space="preserve"> and purges</w:t>
      </w:r>
      <w:r w:rsidR="00350C90">
        <w:rPr>
          <w:rFonts w:ascii="Times New Roman" w:hAnsi="Times New Roman" w:cs="Times New Roman"/>
          <w:sz w:val="24"/>
          <w:szCs w:val="24"/>
          <w:shd w:val="clear" w:color="auto" w:fill="FFFFFF"/>
        </w:rPr>
        <w:t>, to</w:t>
      </w:r>
      <w:r>
        <w:rPr>
          <w:rFonts w:ascii="Times New Roman" w:hAnsi="Times New Roman" w:cs="Times New Roman"/>
          <w:sz w:val="24"/>
          <w:szCs w:val="24"/>
          <w:shd w:val="clear" w:color="auto" w:fill="FFFFFF"/>
        </w:rPr>
        <w:t xml:space="preserve"> </w:t>
      </w:r>
      <w:r w:rsidR="00350C90">
        <w:rPr>
          <w:rFonts w:ascii="Times New Roman" w:hAnsi="Times New Roman" w:cs="Times New Roman"/>
          <w:sz w:val="24"/>
          <w:szCs w:val="24"/>
          <w:shd w:val="clear" w:color="auto" w:fill="FFFFFF"/>
        </w:rPr>
        <w:t>show that the past</w:t>
      </w:r>
      <w:r w:rsidR="00547DAC">
        <w:rPr>
          <w:rFonts w:ascii="Times New Roman" w:hAnsi="Times New Roman" w:cs="Times New Roman"/>
          <w:sz w:val="24"/>
          <w:szCs w:val="24"/>
          <w:shd w:val="clear" w:color="auto" w:fill="FFFFFF"/>
        </w:rPr>
        <w:t xml:space="preserve"> </w:t>
      </w:r>
      <w:r w:rsidR="00350C90">
        <w:rPr>
          <w:rFonts w:ascii="Times New Roman" w:hAnsi="Times New Roman" w:cs="Times New Roman"/>
          <w:sz w:val="24"/>
          <w:szCs w:val="24"/>
          <w:shd w:val="clear" w:color="auto" w:fill="FFFFFF"/>
        </w:rPr>
        <w:lastRenderedPageBreak/>
        <w:t>has</w:t>
      </w:r>
      <w:r>
        <w:rPr>
          <w:rFonts w:ascii="Times New Roman" w:hAnsi="Times New Roman" w:cs="Times New Roman"/>
          <w:sz w:val="24"/>
          <w:szCs w:val="24"/>
          <w:shd w:val="clear" w:color="auto" w:fill="FFFFFF"/>
        </w:rPr>
        <w:t xml:space="preserve"> been framed or ignored by current leaders in order to advance a Kazakh state building agenda and</w:t>
      </w:r>
      <w:r>
        <w:rPr>
          <w:rFonts w:ascii="Times New Roman" w:eastAsia="Times New Roman" w:hAnsi="Times New Roman" w:cs="Times New Roman"/>
          <w:sz w:val="24"/>
          <w:szCs w:val="24"/>
        </w:rPr>
        <w:t xml:space="preserve"> </w:t>
      </w:r>
      <w:r w:rsidR="00547DAC">
        <w:rPr>
          <w:rFonts w:ascii="Times New Roman" w:eastAsia="Times New Roman" w:hAnsi="Times New Roman" w:cs="Times New Roman"/>
          <w:sz w:val="24"/>
          <w:szCs w:val="24"/>
        </w:rPr>
        <w:t xml:space="preserve">as a means of </w:t>
      </w:r>
      <w:r>
        <w:rPr>
          <w:rFonts w:ascii="Times New Roman" w:eastAsia="Times New Roman" w:hAnsi="Times New Roman" w:cs="Times New Roman"/>
          <w:sz w:val="24"/>
          <w:szCs w:val="24"/>
        </w:rPr>
        <w:t>address</w:t>
      </w:r>
      <w:r w:rsidR="00547DA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ethnic identity concerns</w:t>
      </w:r>
      <w:r>
        <w:rPr>
          <w:rFonts w:ascii="Times New Roman" w:hAnsi="Times New Roman" w:cs="Times New Roman"/>
          <w:sz w:val="24"/>
          <w:szCs w:val="24"/>
          <w:shd w:val="clear" w:color="auto" w:fill="FFFFFF"/>
        </w:rPr>
        <w:t xml:space="preserve">. Like other post-Soviet states covered in this volume, the case of Kazakhstan embodies the manner in which the past </w:t>
      </w:r>
      <w:r w:rsidR="00547DAC">
        <w:rPr>
          <w:rFonts w:ascii="Times New Roman" w:hAnsi="Times New Roman" w:cs="Times New Roman"/>
          <w:sz w:val="24"/>
          <w:szCs w:val="24"/>
          <w:shd w:val="clear" w:color="auto" w:fill="FFFFFF"/>
        </w:rPr>
        <w:t>continues to cast</w:t>
      </w:r>
      <w:r>
        <w:rPr>
          <w:rFonts w:ascii="Times New Roman" w:hAnsi="Times New Roman" w:cs="Times New Roman"/>
          <w:sz w:val="24"/>
          <w:szCs w:val="24"/>
          <w:shd w:val="clear" w:color="auto" w:fill="FFFFFF"/>
        </w:rPr>
        <w:t xml:space="preserve"> a long shadow on the future.    </w:t>
      </w:r>
    </w:p>
    <w:p w:rsidR="004877E8" w:rsidRPr="00547DAC" w:rsidRDefault="00891A09" w:rsidP="007F7325">
      <w:pPr>
        <w:spacing w:after="0" w:line="480" w:lineRule="auto"/>
        <w:ind w:firstLine="720"/>
        <w:rPr>
          <w:rFonts w:ascii="Times New Roman" w:hAnsi="Times New Roman" w:cs="Times New Roman"/>
          <w:sz w:val="24"/>
          <w:szCs w:val="24"/>
          <w:shd w:val="clear" w:color="auto" w:fill="FFFFFF"/>
        </w:rPr>
      </w:pPr>
      <w:r w:rsidRPr="00C93854">
        <w:rPr>
          <w:rFonts w:ascii="Times New Roman" w:hAnsi="Times New Roman" w:cs="Times New Roman"/>
          <w:sz w:val="24"/>
          <w:szCs w:val="24"/>
        </w:rPr>
        <w:t xml:space="preserve">A fourth </w:t>
      </w:r>
      <w:r w:rsidR="00C5059D" w:rsidRPr="00C93854">
        <w:rPr>
          <w:rFonts w:ascii="Times New Roman" w:hAnsi="Times New Roman" w:cs="Times New Roman"/>
          <w:sz w:val="24"/>
          <w:szCs w:val="24"/>
        </w:rPr>
        <w:t xml:space="preserve">unifying </w:t>
      </w:r>
      <w:r w:rsidRPr="00C93854">
        <w:rPr>
          <w:rFonts w:ascii="Times New Roman" w:hAnsi="Times New Roman" w:cs="Times New Roman"/>
          <w:sz w:val="24"/>
          <w:szCs w:val="24"/>
        </w:rPr>
        <w:t>theme</w:t>
      </w:r>
      <w:r w:rsidR="00C5059D" w:rsidRPr="00C93854">
        <w:rPr>
          <w:rFonts w:ascii="Times New Roman" w:hAnsi="Times New Roman" w:cs="Times New Roman"/>
          <w:sz w:val="24"/>
          <w:szCs w:val="24"/>
        </w:rPr>
        <w:t xml:space="preserve"> in this volume </w:t>
      </w:r>
      <w:r w:rsidR="00331BBF">
        <w:rPr>
          <w:rFonts w:ascii="Times New Roman" w:hAnsi="Times New Roman" w:cs="Times New Roman"/>
          <w:sz w:val="24"/>
          <w:szCs w:val="24"/>
        </w:rPr>
        <w:t>is the placement of th</w:t>
      </w:r>
      <w:r w:rsidR="00C5059D" w:rsidRPr="00C93854">
        <w:rPr>
          <w:rFonts w:ascii="Times New Roman" w:hAnsi="Times New Roman" w:cs="Times New Roman"/>
          <w:sz w:val="24"/>
          <w:szCs w:val="24"/>
        </w:rPr>
        <w:t>e FSU in</w:t>
      </w:r>
      <w:r w:rsidR="00C5059D" w:rsidRPr="00C93854">
        <w:rPr>
          <w:rFonts w:ascii="Times New Roman" w:hAnsi="Times New Roman" w:cs="Times New Roman"/>
          <w:i/>
          <w:sz w:val="24"/>
          <w:szCs w:val="24"/>
        </w:rPr>
        <w:t xml:space="preserve"> a broader comparative context</w:t>
      </w:r>
      <w:r w:rsidR="00C5059D">
        <w:rPr>
          <w:rFonts w:ascii="Times New Roman" w:hAnsi="Times New Roman" w:cs="Times New Roman"/>
          <w:i/>
          <w:sz w:val="24"/>
          <w:szCs w:val="24"/>
        </w:rPr>
        <w:t xml:space="preserve">. </w:t>
      </w:r>
      <w:r w:rsidR="00C5059D" w:rsidRPr="00C5059D">
        <w:rPr>
          <w:rFonts w:ascii="Times New Roman" w:hAnsi="Times New Roman" w:cs="Times New Roman"/>
          <w:sz w:val="24"/>
          <w:szCs w:val="24"/>
        </w:rPr>
        <w:t xml:space="preserve">To that end, </w:t>
      </w:r>
      <w:r w:rsidR="00A43141">
        <w:rPr>
          <w:rFonts w:ascii="Times New Roman" w:hAnsi="Times New Roman" w:cs="Times New Roman"/>
          <w:sz w:val="24"/>
          <w:szCs w:val="24"/>
        </w:rPr>
        <w:t xml:space="preserve">several chapters have made </w:t>
      </w:r>
      <w:r w:rsidR="00C5059D" w:rsidRPr="00C5059D">
        <w:rPr>
          <w:rFonts w:ascii="Times New Roman" w:hAnsi="Times New Roman" w:cs="Times New Roman"/>
          <w:sz w:val="24"/>
          <w:szCs w:val="24"/>
        </w:rPr>
        <w:t xml:space="preserve">a concerted effort to apply </w:t>
      </w:r>
      <w:r w:rsidR="00C5059D" w:rsidRPr="00C163D6">
        <w:rPr>
          <w:rFonts w:ascii="Times New Roman" w:hAnsi="Times New Roman" w:cs="Times New Roman"/>
          <w:b/>
          <w:i/>
          <w:sz w:val="24"/>
          <w:szCs w:val="24"/>
        </w:rPr>
        <w:t>extra-regional transitional justice lessons to the FSU</w:t>
      </w:r>
      <w:r w:rsidR="00C5059D">
        <w:rPr>
          <w:rFonts w:ascii="Times New Roman" w:hAnsi="Times New Roman" w:cs="Times New Roman"/>
          <w:i/>
          <w:sz w:val="24"/>
          <w:szCs w:val="24"/>
        </w:rPr>
        <w:t xml:space="preserve">. </w:t>
      </w:r>
      <w:r w:rsidR="002B1569" w:rsidRPr="00F23DDE">
        <w:rPr>
          <w:rFonts w:ascii="Times New Roman" w:hAnsi="Times New Roman" w:cs="Times New Roman"/>
          <w:sz w:val="24"/>
          <w:szCs w:val="24"/>
        </w:rPr>
        <w:t>The experiences in CEE with transitional justice are not only regionally proximate but also histor</w:t>
      </w:r>
      <w:r w:rsidR="002B1569" w:rsidRPr="008A7692">
        <w:rPr>
          <w:rFonts w:ascii="Times New Roman" w:hAnsi="Times New Roman" w:cs="Times New Roman"/>
          <w:sz w:val="24"/>
          <w:szCs w:val="24"/>
        </w:rPr>
        <w:t>ically and culturally resonant with the post-Soviet states</w:t>
      </w:r>
      <w:r w:rsidR="00C536EC">
        <w:rPr>
          <w:rFonts w:ascii="Times New Roman" w:hAnsi="Times New Roman" w:cs="Times New Roman"/>
          <w:sz w:val="24"/>
          <w:szCs w:val="24"/>
        </w:rPr>
        <w:t>, constituting</w:t>
      </w:r>
      <w:r w:rsidR="002B1569" w:rsidRPr="008A7692">
        <w:rPr>
          <w:rFonts w:ascii="Times New Roman" w:hAnsi="Times New Roman" w:cs="Times New Roman"/>
          <w:sz w:val="24"/>
          <w:szCs w:val="24"/>
        </w:rPr>
        <w:t xml:space="preserve"> a deep and wide base of knowledge to inform </w:t>
      </w:r>
      <w:r w:rsidR="00C536EC">
        <w:rPr>
          <w:rFonts w:ascii="Times New Roman" w:hAnsi="Times New Roman" w:cs="Times New Roman"/>
          <w:sz w:val="24"/>
          <w:szCs w:val="24"/>
        </w:rPr>
        <w:t>our</w:t>
      </w:r>
      <w:r w:rsidR="002B1569" w:rsidRPr="008A7692">
        <w:rPr>
          <w:rFonts w:ascii="Times New Roman" w:hAnsi="Times New Roman" w:cs="Times New Roman"/>
          <w:sz w:val="24"/>
          <w:szCs w:val="24"/>
        </w:rPr>
        <w:t xml:space="preserve"> analysis of</w:t>
      </w:r>
      <w:r w:rsidR="00C536EC">
        <w:rPr>
          <w:rFonts w:ascii="Times New Roman" w:hAnsi="Times New Roman" w:cs="Times New Roman"/>
          <w:sz w:val="24"/>
          <w:szCs w:val="24"/>
        </w:rPr>
        <w:t xml:space="preserve"> the FSU</w:t>
      </w:r>
      <w:r w:rsidR="002B1569" w:rsidRPr="008A7692">
        <w:rPr>
          <w:rFonts w:ascii="Times New Roman" w:hAnsi="Times New Roman" w:cs="Times New Roman"/>
          <w:sz w:val="24"/>
          <w:szCs w:val="24"/>
        </w:rPr>
        <w:t xml:space="preserve">. </w:t>
      </w:r>
      <w:r w:rsidR="00C5059D" w:rsidRPr="00331BBF">
        <w:rPr>
          <w:rFonts w:ascii="Times New Roman" w:hAnsi="Times New Roman" w:cs="Times New Roman"/>
          <w:sz w:val="24"/>
          <w:szCs w:val="24"/>
        </w:rPr>
        <w:t>Addi</w:t>
      </w:r>
      <w:r w:rsidR="00331BBF">
        <w:rPr>
          <w:rFonts w:ascii="Times New Roman" w:hAnsi="Times New Roman" w:cs="Times New Roman"/>
          <w:sz w:val="24"/>
          <w:szCs w:val="24"/>
        </w:rPr>
        <w:t xml:space="preserve">tionally, several chapters </w:t>
      </w:r>
      <w:r w:rsidR="00C536EC">
        <w:rPr>
          <w:rFonts w:ascii="Times New Roman" w:hAnsi="Times New Roman" w:cs="Times New Roman"/>
          <w:sz w:val="24"/>
          <w:szCs w:val="24"/>
        </w:rPr>
        <w:t>engage</w:t>
      </w:r>
      <w:r w:rsidR="00C5059D" w:rsidRPr="008A7692">
        <w:rPr>
          <w:rFonts w:ascii="Times New Roman" w:hAnsi="Times New Roman" w:cs="Times New Roman"/>
          <w:i/>
          <w:sz w:val="24"/>
          <w:szCs w:val="24"/>
        </w:rPr>
        <w:t xml:space="preserve"> </w:t>
      </w:r>
      <w:r w:rsidR="00C5059D" w:rsidRPr="00331BBF">
        <w:rPr>
          <w:rFonts w:ascii="Times New Roman" w:hAnsi="Times New Roman" w:cs="Times New Roman"/>
          <w:b/>
          <w:i/>
          <w:sz w:val="24"/>
          <w:szCs w:val="24"/>
        </w:rPr>
        <w:t>the role of external actors and their influence</w:t>
      </w:r>
      <w:r w:rsidR="00C5059D" w:rsidRPr="008A7692">
        <w:rPr>
          <w:rFonts w:ascii="Times New Roman" w:hAnsi="Times New Roman" w:cs="Times New Roman"/>
          <w:i/>
          <w:sz w:val="24"/>
          <w:szCs w:val="24"/>
        </w:rPr>
        <w:t xml:space="preserve"> </w:t>
      </w:r>
      <w:r w:rsidR="00C5059D" w:rsidRPr="00331BBF">
        <w:rPr>
          <w:rFonts w:ascii="Times New Roman" w:hAnsi="Times New Roman" w:cs="Times New Roman"/>
          <w:sz w:val="24"/>
          <w:szCs w:val="24"/>
        </w:rPr>
        <w:t>on transitional justice in the region.</w:t>
      </w:r>
      <w:r w:rsidR="00810177" w:rsidRPr="008A7692">
        <w:rPr>
          <w:rFonts w:ascii="Times New Roman" w:hAnsi="Times New Roman" w:cs="Times New Roman"/>
          <w:sz w:val="24"/>
          <w:szCs w:val="24"/>
        </w:rPr>
        <w:t xml:space="preserve"> </w:t>
      </w:r>
      <w:r w:rsidR="00331BBF">
        <w:rPr>
          <w:rFonts w:ascii="Times New Roman" w:hAnsi="Times New Roman" w:cs="Times New Roman"/>
          <w:sz w:val="24"/>
          <w:szCs w:val="24"/>
        </w:rPr>
        <w:t>This volume</w:t>
      </w:r>
      <w:r w:rsidR="004877E8">
        <w:rPr>
          <w:rFonts w:ascii="Times New Roman" w:hAnsi="Times New Roman" w:cs="Times New Roman"/>
          <w:sz w:val="24"/>
          <w:szCs w:val="24"/>
        </w:rPr>
        <w:t xml:space="preserve"> challenges the assumption of FSU </w:t>
      </w:r>
      <w:proofErr w:type="spellStart"/>
      <w:r w:rsidR="004877E8">
        <w:rPr>
          <w:rFonts w:ascii="Times New Roman" w:hAnsi="Times New Roman" w:cs="Times New Roman"/>
          <w:sz w:val="24"/>
          <w:szCs w:val="24"/>
        </w:rPr>
        <w:t>exceptionalism</w:t>
      </w:r>
      <w:proofErr w:type="spellEnd"/>
      <w:r w:rsidR="004877E8">
        <w:rPr>
          <w:rFonts w:ascii="Times New Roman" w:hAnsi="Times New Roman" w:cs="Times New Roman"/>
          <w:sz w:val="24"/>
          <w:szCs w:val="24"/>
        </w:rPr>
        <w:t xml:space="preserve"> seen in some a</w:t>
      </w:r>
      <w:r w:rsidR="00C536EC">
        <w:rPr>
          <w:rFonts w:ascii="Times New Roman" w:hAnsi="Times New Roman" w:cs="Times New Roman"/>
          <w:sz w:val="24"/>
          <w:szCs w:val="24"/>
        </w:rPr>
        <w:t>pproaches to post-Sov</w:t>
      </w:r>
      <w:r w:rsidR="006C2CE0">
        <w:rPr>
          <w:rFonts w:ascii="Times New Roman" w:hAnsi="Times New Roman" w:cs="Times New Roman"/>
          <w:sz w:val="24"/>
          <w:szCs w:val="24"/>
        </w:rPr>
        <w:t>iet studies. It is through an intentional</w:t>
      </w:r>
      <w:r w:rsidR="00C536EC">
        <w:rPr>
          <w:rFonts w:ascii="Times New Roman" w:hAnsi="Times New Roman" w:cs="Times New Roman"/>
          <w:sz w:val="24"/>
          <w:szCs w:val="24"/>
        </w:rPr>
        <w:t xml:space="preserve"> comparative approach that we gain leverage over </w:t>
      </w:r>
      <w:r w:rsidR="006C2CE0">
        <w:rPr>
          <w:rFonts w:ascii="Times New Roman" w:hAnsi="Times New Roman" w:cs="Times New Roman"/>
          <w:sz w:val="24"/>
          <w:szCs w:val="24"/>
        </w:rPr>
        <w:t>the possible effects of both the presence and absence of FSU transitional justice measures</w:t>
      </w:r>
      <w:r w:rsidR="004877E8">
        <w:rPr>
          <w:rFonts w:ascii="Times New Roman" w:hAnsi="Times New Roman" w:cs="Times New Roman"/>
          <w:sz w:val="24"/>
          <w:szCs w:val="24"/>
        </w:rPr>
        <w:t xml:space="preserve">. </w:t>
      </w:r>
      <w:r w:rsidR="006C2CE0">
        <w:rPr>
          <w:rFonts w:ascii="Times New Roman" w:hAnsi="Times New Roman" w:cs="Times New Roman"/>
          <w:sz w:val="24"/>
          <w:szCs w:val="24"/>
        </w:rPr>
        <w:t>In other words, comparing across the post-communist region helps to unpack the possible effects of the non-case.</w:t>
      </w:r>
    </w:p>
    <w:p w:rsidR="004877E8" w:rsidRDefault="004877E8" w:rsidP="007F7325">
      <w:pPr>
        <w:spacing w:after="0" w:line="480" w:lineRule="auto"/>
        <w:ind w:firstLine="720"/>
        <w:rPr>
          <w:rFonts w:ascii="Times New Roman" w:hAnsi="Times New Roman" w:cs="Times New Roman"/>
          <w:sz w:val="24"/>
          <w:szCs w:val="24"/>
        </w:rPr>
      </w:pPr>
      <w:proofErr w:type="spellStart"/>
      <w:r w:rsidRPr="004877E8">
        <w:rPr>
          <w:rFonts w:ascii="Times New Roman" w:hAnsi="Times New Roman" w:cs="Times New Roman"/>
          <w:sz w:val="24"/>
          <w:szCs w:val="24"/>
        </w:rPr>
        <w:t>Onur</w:t>
      </w:r>
      <w:proofErr w:type="spellEnd"/>
      <w:r w:rsidRPr="004877E8">
        <w:rPr>
          <w:rFonts w:ascii="Times New Roman" w:hAnsi="Times New Roman" w:cs="Times New Roman"/>
          <w:sz w:val="24"/>
          <w:szCs w:val="24"/>
        </w:rPr>
        <w:t xml:space="preserve"> </w:t>
      </w:r>
      <w:proofErr w:type="spellStart"/>
      <w:r w:rsidRPr="004877E8">
        <w:rPr>
          <w:rFonts w:ascii="Times New Roman" w:hAnsi="Times New Roman" w:cs="Times New Roman"/>
          <w:sz w:val="24"/>
          <w:szCs w:val="24"/>
        </w:rPr>
        <w:t>Bakiner’s</w:t>
      </w:r>
      <w:proofErr w:type="spellEnd"/>
      <w:r w:rsidRPr="004877E8">
        <w:rPr>
          <w:rFonts w:ascii="Times New Roman" w:hAnsi="Times New Roman" w:cs="Times New Roman"/>
          <w:sz w:val="24"/>
          <w:szCs w:val="24"/>
        </w:rPr>
        <w:t xml:space="preserve"> chapter “</w:t>
      </w:r>
      <w:r w:rsidRPr="004877E8">
        <w:rPr>
          <w:rFonts w:ascii="Times New Roman" w:hAnsi="Times New Roman" w:cs="Times New Roman"/>
          <w:bCs/>
          <w:sz w:val="24"/>
          <w:szCs w:val="24"/>
        </w:rPr>
        <w:t xml:space="preserve">Between Politics and History: The Baltic Truth Commissions in Global Perspective” takes the broadest comparative perspective of any of the chapters. </w:t>
      </w:r>
      <w:r>
        <w:rPr>
          <w:rFonts w:ascii="Times New Roman" w:hAnsi="Times New Roman" w:cs="Times New Roman"/>
          <w:bCs/>
          <w:sz w:val="24"/>
          <w:szCs w:val="24"/>
        </w:rPr>
        <w:t xml:space="preserve">He </w:t>
      </w:r>
      <w:r w:rsidR="00B67617">
        <w:rPr>
          <w:rFonts w:ascii="Times New Roman" w:hAnsi="Times New Roman" w:cs="Times New Roman"/>
          <w:bCs/>
          <w:sz w:val="24"/>
          <w:szCs w:val="24"/>
        </w:rPr>
        <w:t xml:space="preserve">develops a truth commission typology based on </w:t>
      </w:r>
      <w:r>
        <w:rPr>
          <w:rFonts w:ascii="Times New Roman" w:hAnsi="Times New Roman" w:cs="Times New Roman"/>
          <w:bCs/>
          <w:sz w:val="24"/>
          <w:szCs w:val="24"/>
        </w:rPr>
        <w:t>memory and trut</w:t>
      </w:r>
      <w:r w:rsidR="00331BBF">
        <w:rPr>
          <w:rFonts w:ascii="Times New Roman" w:hAnsi="Times New Roman" w:cs="Times New Roman"/>
          <w:bCs/>
          <w:sz w:val="24"/>
          <w:szCs w:val="24"/>
        </w:rPr>
        <w:t>h-</w:t>
      </w:r>
      <w:r>
        <w:rPr>
          <w:rFonts w:ascii="Times New Roman" w:hAnsi="Times New Roman" w:cs="Times New Roman"/>
          <w:bCs/>
          <w:sz w:val="24"/>
          <w:szCs w:val="24"/>
        </w:rPr>
        <w:t>te</w:t>
      </w:r>
      <w:r w:rsidR="00B67617">
        <w:rPr>
          <w:rFonts w:ascii="Times New Roman" w:hAnsi="Times New Roman" w:cs="Times New Roman"/>
          <w:bCs/>
          <w:sz w:val="24"/>
          <w:szCs w:val="24"/>
        </w:rPr>
        <w:t xml:space="preserve">lling efforts around the world, and then uses this typology to inform an analysis of </w:t>
      </w:r>
      <w:r w:rsidR="00B67617">
        <w:rPr>
          <w:rFonts w:ascii="Times New Roman" w:hAnsi="Times New Roman" w:cs="Times New Roman"/>
          <w:sz w:val="24"/>
          <w:szCs w:val="24"/>
        </w:rPr>
        <w:t>Baltic fact-finding bodies. His broad comparative perspective allows him to situate</w:t>
      </w:r>
      <w:r w:rsidR="00F7015D" w:rsidRPr="00881485">
        <w:rPr>
          <w:rFonts w:ascii="Times New Roman" w:hAnsi="Times New Roman" w:cs="Times New Roman"/>
          <w:sz w:val="24"/>
          <w:szCs w:val="24"/>
        </w:rPr>
        <w:t xml:space="preserve"> the accomplishments and shortcomings of commissions in Estonia, Latvia and Lithuania </w:t>
      </w:r>
      <w:r w:rsidR="00B67617">
        <w:rPr>
          <w:rFonts w:ascii="Times New Roman" w:hAnsi="Times New Roman" w:cs="Times New Roman"/>
          <w:sz w:val="24"/>
          <w:szCs w:val="24"/>
        </w:rPr>
        <w:t>within the</w:t>
      </w:r>
      <w:r w:rsidR="00F7015D" w:rsidRPr="00881485">
        <w:rPr>
          <w:rFonts w:ascii="Times New Roman" w:hAnsi="Times New Roman" w:cs="Times New Roman"/>
          <w:sz w:val="24"/>
          <w:szCs w:val="24"/>
        </w:rPr>
        <w:t xml:space="preserve"> context of the global popularity of truth commissions in the 1990s and the 2000s.</w:t>
      </w:r>
      <w:r w:rsidR="00F7015D">
        <w:rPr>
          <w:rFonts w:ascii="Times New Roman" w:hAnsi="Times New Roman" w:cs="Times New Roman"/>
          <w:sz w:val="24"/>
          <w:szCs w:val="24"/>
        </w:rPr>
        <w:t xml:space="preserve"> </w:t>
      </w:r>
      <w:r w:rsidR="006C2CE0">
        <w:rPr>
          <w:rFonts w:ascii="Times New Roman" w:hAnsi="Times New Roman" w:cs="Times New Roman"/>
          <w:sz w:val="24"/>
          <w:szCs w:val="24"/>
        </w:rPr>
        <w:t>Although</w:t>
      </w:r>
      <w:r w:rsidR="00F7015D">
        <w:rPr>
          <w:rFonts w:ascii="Times New Roman" w:hAnsi="Times New Roman" w:cs="Times New Roman"/>
          <w:sz w:val="24"/>
          <w:szCs w:val="24"/>
        </w:rPr>
        <w:t xml:space="preserve"> the Baltic commissions did</w:t>
      </w:r>
      <w:r w:rsidR="00F7015D" w:rsidRPr="00881485">
        <w:rPr>
          <w:rFonts w:ascii="Times New Roman" w:hAnsi="Times New Roman" w:cs="Times New Roman"/>
          <w:sz w:val="24"/>
          <w:szCs w:val="24"/>
        </w:rPr>
        <w:t xml:space="preserve"> not satisfy most of the definitional criteria used for truth commissions insofar as their forensic investigation, </w:t>
      </w:r>
      <w:r w:rsidR="00F7015D" w:rsidRPr="00881485">
        <w:rPr>
          <w:rFonts w:ascii="Times New Roman" w:hAnsi="Times New Roman" w:cs="Times New Roman"/>
          <w:sz w:val="24"/>
          <w:szCs w:val="24"/>
        </w:rPr>
        <w:lastRenderedPageBreak/>
        <w:t>temporal scope</w:t>
      </w:r>
      <w:r w:rsidR="00F7015D">
        <w:rPr>
          <w:rFonts w:ascii="Times New Roman" w:hAnsi="Times New Roman" w:cs="Times New Roman"/>
          <w:sz w:val="24"/>
          <w:szCs w:val="24"/>
        </w:rPr>
        <w:t>,</w:t>
      </w:r>
      <w:r w:rsidR="00F7015D" w:rsidRPr="00881485">
        <w:rPr>
          <w:rFonts w:ascii="Times New Roman" w:hAnsi="Times New Roman" w:cs="Times New Roman"/>
          <w:sz w:val="24"/>
          <w:szCs w:val="24"/>
        </w:rPr>
        <w:t xml:space="preserve"> and relationship to victims were concerned</w:t>
      </w:r>
      <w:r w:rsidR="006C2CE0">
        <w:rPr>
          <w:rFonts w:ascii="Times New Roman" w:hAnsi="Times New Roman" w:cs="Times New Roman"/>
          <w:sz w:val="24"/>
          <w:szCs w:val="24"/>
        </w:rPr>
        <w:t xml:space="preserve">, </w:t>
      </w:r>
      <w:proofErr w:type="spellStart"/>
      <w:r w:rsidR="006C2CE0">
        <w:rPr>
          <w:rFonts w:ascii="Times New Roman" w:hAnsi="Times New Roman" w:cs="Times New Roman"/>
          <w:sz w:val="24"/>
          <w:szCs w:val="24"/>
        </w:rPr>
        <w:t>Bakiner</w:t>
      </w:r>
      <w:proofErr w:type="spellEnd"/>
      <w:r w:rsidR="006C2CE0">
        <w:rPr>
          <w:rFonts w:ascii="Times New Roman" w:hAnsi="Times New Roman" w:cs="Times New Roman"/>
          <w:sz w:val="24"/>
          <w:szCs w:val="24"/>
        </w:rPr>
        <w:t xml:space="preserve"> argues that</w:t>
      </w:r>
      <w:r w:rsidR="00F7015D">
        <w:rPr>
          <w:rFonts w:ascii="Times New Roman" w:hAnsi="Times New Roman" w:cs="Times New Roman"/>
          <w:sz w:val="24"/>
          <w:szCs w:val="24"/>
        </w:rPr>
        <w:t xml:space="preserve"> the Baltic commissions echo</w:t>
      </w:r>
      <w:r w:rsidR="00F7015D" w:rsidRPr="00881485">
        <w:rPr>
          <w:rFonts w:ascii="Times New Roman" w:hAnsi="Times New Roman" w:cs="Times New Roman"/>
          <w:sz w:val="24"/>
          <w:szCs w:val="24"/>
        </w:rPr>
        <w:t xml:space="preserve"> many of the promises and challenges that truth commissions face in their engagement with social memory debates</w:t>
      </w:r>
      <w:r w:rsidR="00F7015D">
        <w:rPr>
          <w:rFonts w:ascii="Times New Roman" w:hAnsi="Times New Roman" w:cs="Times New Roman"/>
          <w:sz w:val="24"/>
          <w:szCs w:val="24"/>
        </w:rPr>
        <w:t xml:space="preserve">. </w:t>
      </w:r>
      <w:r w:rsidR="006C2CE0">
        <w:rPr>
          <w:rFonts w:ascii="Times New Roman" w:hAnsi="Times New Roman" w:cs="Times New Roman"/>
          <w:sz w:val="24"/>
          <w:szCs w:val="24"/>
        </w:rPr>
        <w:t xml:space="preserve">He </w:t>
      </w:r>
      <w:r w:rsidR="00F7015D">
        <w:rPr>
          <w:rFonts w:ascii="Times New Roman" w:hAnsi="Times New Roman" w:cs="Times New Roman"/>
          <w:sz w:val="24"/>
          <w:szCs w:val="24"/>
        </w:rPr>
        <w:t>shows how</w:t>
      </w:r>
      <w:r w:rsidR="00F7015D" w:rsidRPr="00F7015D">
        <w:rPr>
          <w:rFonts w:ascii="Times New Roman" w:hAnsi="Times New Roman" w:cs="Times New Roman"/>
          <w:sz w:val="24"/>
          <w:szCs w:val="24"/>
        </w:rPr>
        <w:t xml:space="preserve"> </w:t>
      </w:r>
      <w:r w:rsidR="00F7015D">
        <w:rPr>
          <w:rFonts w:ascii="Times New Roman" w:hAnsi="Times New Roman" w:cs="Times New Roman"/>
          <w:sz w:val="24"/>
          <w:szCs w:val="24"/>
        </w:rPr>
        <w:t>t</w:t>
      </w:r>
      <w:r w:rsidR="00F7015D" w:rsidRPr="00881485">
        <w:rPr>
          <w:rFonts w:ascii="Times New Roman" w:hAnsi="Times New Roman" w:cs="Times New Roman"/>
          <w:sz w:val="24"/>
          <w:szCs w:val="24"/>
        </w:rPr>
        <w:t>he Baltic commissions consciously position</w:t>
      </w:r>
      <w:r w:rsidR="00F7015D">
        <w:rPr>
          <w:rFonts w:ascii="Times New Roman" w:hAnsi="Times New Roman" w:cs="Times New Roman"/>
          <w:sz w:val="24"/>
          <w:szCs w:val="24"/>
        </w:rPr>
        <w:t>ed</w:t>
      </w:r>
      <w:r w:rsidR="00F7015D" w:rsidRPr="00881485">
        <w:rPr>
          <w:rFonts w:ascii="Times New Roman" w:hAnsi="Times New Roman" w:cs="Times New Roman"/>
          <w:sz w:val="24"/>
          <w:szCs w:val="24"/>
        </w:rPr>
        <w:t xml:space="preserve"> themselves as arbiters of disagreements over social memory. </w:t>
      </w:r>
      <w:r w:rsidR="00F7015D">
        <w:rPr>
          <w:rFonts w:ascii="Times New Roman" w:hAnsi="Times New Roman" w:cs="Times New Roman"/>
          <w:sz w:val="24"/>
          <w:szCs w:val="24"/>
        </w:rPr>
        <w:t>T</w:t>
      </w:r>
      <w:r w:rsidR="00F7015D" w:rsidRPr="00881485">
        <w:rPr>
          <w:rFonts w:ascii="Times New Roman" w:hAnsi="Times New Roman" w:cs="Times New Roman"/>
          <w:sz w:val="24"/>
          <w:szCs w:val="24"/>
        </w:rPr>
        <w:t xml:space="preserve">he Baltic commissions </w:t>
      </w:r>
      <w:r w:rsidR="00F7015D">
        <w:rPr>
          <w:rFonts w:ascii="Times New Roman" w:hAnsi="Times New Roman" w:cs="Times New Roman"/>
          <w:sz w:val="24"/>
          <w:szCs w:val="24"/>
        </w:rPr>
        <w:t>were</w:t>
      </w:r>
      <w:r w:rsidR="00F7015D" w:rsidRPr="00881485">
        <w:rPr>
          <w:rFonts w:ascii="Times New Roman" w:hAnsi="Times New Roman" w:cs="Times New Roman"/>
          <w:sz w:val="24"/>
          <w:szCs w:val="24"/>
        </w:rPr>
        <w:t xml:space="preserve"> less concerned with making recommendations for immediate political-institutional reform and more interested in adjudicating debates over history and social memory.</w:t>
      </w:r>
      <w:r w:rsidR="00F7015D">
        <w:rPr>
          <w:rFonts w:ascii="Times New Roman" w:hAnsi="Times New Roman" w:cs="Times New Roman"/>
          <w:sz w:val="24"/>
          <w:szCs w:val="24"/>
        </w:rPr>
        <w:t xml:space="preserve"> This still resembles the </w:t>
      </w:r>
      <w:r w:rsidR="00F7015D" w:rsidRPr="00881485">
        <w:rPr>
          <w:rFonts w:ascii="Times New Roman" w:hAnsi="Times New Roman" w:cs="Times New Roman"/>
          <w:sz w:val="24"/>
          <w:szCs w:val="24"/>
        </w:rPr>
        <w:t xml:space="preserve">work of truth commissions that have produced comprehensive accounts of past wrongs to seek broader </w:t>
      </w:r>
      <w:r w:rsidR="00331BBF">
        <w:rPr>
          <w:rFonts w:ascii="Times New Roman" w:hAnsi="Times New Roman" w:cs="Times New Roman"/>
          <w:sz w:val="24"/>
          <w:szCs w:val="24"/>
        </w:rPr>
        <w:t xml:space="preserve">state and societal </w:t>
      </w:r>
      <w:r w:rsidR="00F7015D" w:rsidRPr="00881485">
        <w:rPr>
          <w:rFonts w:ascii="Times New Roman" w:hAnsi="Times New Roman" w:cs="Times New Roman"/>
          <w:sz w:val="24"/>
          <w:szCs w:val="24"/>
        </w:rPr>
        <w:t>transformation</w:t>
      </w:r>
      <w:r w:rsidR="00331BBF">
        <w:rPr>
          <w:rFonts w:ascii="Times New Roman" w:hAnsi="Times New Roman" w:cs="Times New Roman"/>
          <w:sz w:val="24"/>
          <w:szCs w:val="24"/>
        </w:rPr>
        <w:t>s</w:t>
      </w:r>
      <w:r w:rsidR="00F7015D" w:rsidRPr="00881485">
        <w:rPr>
          <w:rFonts w:ascii="Times New Roman" w:hAnsi="Times New Roman" w:cs="Times New Roman"/>
          <w:sz w:val="24"/>
          <w:szCs w:val="24"/>
        </w:rPr>
        <w:t>.</w:t>
      </w:r>
      <w:r w:rsidR="00F11D20">
        <w:rPr>
          <w:rFonts w:ascii="Times New Roman" w:hAnsi="Times New Roman" w:cs="Times New Roman"/>
          <w:sz w:val="24"/>
          <w:szCs w:val="24"/>
        </w:rPr>
        <w:t xml:space="preserve"> In sum, </w:t>
      </w:r>
      <w:proofErr w:type="spellStart"/>
      <w:r w:rsidR="00F11D20">
        <w:rPr>
          <w:rFonts w:ascii="Times New Roman" w:hAnsi="Times New Roman" w:cs="Times New Roman"/>
          <w:sz w:val="24"/>
          <w:szCs w:val="24"/>
        </w:rPr>
        <w:t>Bakiner’s</w:t>
      </w:r>
      <w:proofErr w:type="spellEnd"/>
      <w:r w:rsidR="00F11D20">
        <w:rPr>
          <w:rFonts w:ascii="Times New Roman" w:hAnsi="Times New Roman" w:cs="Times New Roman"/>
          <w:sz w:val="24"/>
          <w:szCs w:val="24"/>
        </w:rPr>
        <w:t xml:space="preserve"> broad comparative approach presents us with a range of forms this type of transitional justice could take, as well as some of the strengths and limitations of this type of non-punitive transitional justice measure. Given the non-punitive nature of truth commissions, this transitional justice </w:t>
      </w:r>
      <w:r w:rsidR="002F4205">
        <w:rPr>
          <w:rFonts w:ascii="Times New Roman" w:hAnsi="Times New Roman" w:cs="Times New Roman"/>
          <w:sz w:val="24"/>
          <w:szCs w:val="24"/>
        </w:rPr>
        <w:t xml:space="preserve">method </w:t>
      </w:r>
      <w:r w:rsidR="00F11D20">
        <w:rPr>
          <w:rFonts w:ascii="Times New Roman" w:hAnsi="Times New Roman" w:cs="Times New Roman"/>
          <w:sz w:val="24"/>
          <w:szCs w:val="24"/>
        </w:rPr>
        <w:t xml:space="preserve">remains a politically possible </w:t>
      </w:r>
      <w:proofErr w:type="gramStart"/>
      <w:r w:rsidR="00F11D20">
        <w:rPr>
          <w:rFonts w:ascii="Times New Roman" w:hAnsi="Times New Roman" w:cs="Times New Roman"/>
          <w:sz w:val="24"/>
          <w:szCs w:val="24"/>
        </w:rPr>
        <w:t>options</w:t>
      </w:r>
      <w:proofErr w:type="gramEnd"/>
      <w:r w:rsidR="00F11D20">
        <w:rPr>
          <w:rFonts w:ascii="Times New Roman" w:hAnsi="Times New Roman" w:cs="Times New Roman"/>
          <w:sz w:val="24"/>
          <w:szCs w:val="24"/>
        </w:rPr>
        <w:t xml:space="preserve"> for many states in the FSU.</w:t>
      </w:r>
    </w:p>
    <w:p w:rsidR="00744F5B" w:rsidRPr="008B6C16" w:rsidRDefault="00744F5B" w:rsidP="007F73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Cynthia Horne’s chapter </w:t>
      </w:r>
      <w:r w:rsidR="00067137">
        <w:rPr>
          <w:rFonts w:ascii="Times New Roman" w:hAnsi="Times New Roman" w:cs="Times New Roman"/>
          <w:sz w:val="24"/>
          <w:szCs w:val="24"/>
        </w:rPr>
        <w:t>“Lustration: Temporal, Scope an</w:t>
      </w:r>
      <w:r w:rsidR="00331BBF">
        <w:rPr>
          <w:rFonts w:ascii="Times New Roman" w:hAnsi="Times New Roman" w:cs="Times New Roman"/>
          <w:sz w:val="24"/>
          <w:szCs w:val="24"/>
        </w:rPr>
        <w:t xml:space="preserve">d Implementation Considerations” takes a narrower </w:t>
      </w:r>
      <w:r w:rsidR="00067137">
        <w:rPr>
          <w:rFonts w:ascii="Times New Roman" w:hAnsi="Times New Roman" w:cs="Times New Roman"/>
          <w:sz w:val="24"/>
          <w:szCs w:val="24"/>
        </w:rPr>
        <w:t xml:space="preserve">comparative approach to assess the </w:t>
      </w:r>
      <w:r w:rsidR="00B67617">
        <w:rPr>
          <w:rFonts w:ascii="Times New Roman" w:hAnsi="Times New Roman" w:cs="Times New Roman"/>
          <w:sz w:val="24"/>
          <w:szCs w:val="24"/>
        </w:rPr>
        <w:t>post-</w:t>
      </w:r>
      <w:proofErr w:type="spellStart"/>
      <w:r w:rsidR="00B67617">
        <w:rPr>
          <w:rFonts w:ascii="Times New Roman" w:hAnsi="Times New Roman" w:cs="Times New Roman"/>
          <w:sz w:val="24"/>
          <w:szCs w:val="24"/>
        </w:rPr>
        <w:t>Maidan</w:t>
      </w:r>
      <w:proofErr w:type="spellEnd"/>
      <w:r w:rsidR="00B67617">
        <w:rPr>
          <w:rFonts w:ascii="Times New Roman" w:hAnsi="Times New Roman" w:cs="Times New Roman"/>
          <w:sz w:val="24"/>
          <w:szCs w:val="24"/>
        </w:rPr>
        <w:t xml:space="preserve"> </w:t>
      </w:r>
      <w:r w:rsidR="00067137">
        <w:rPr>
          <w:rFonts w:ascii="Times New Roman" w:hAnsi="Times New Roman" w:cs="Times New Roman"/>
          <w:sz w:val="24"/>
          <w:szCs w:val="24"/>
        </w:rPr>
        <w:t xml:space="preserve">lustration program in Ukraine. She draws on the </w:t>
      </w:r>
      <w:r w:rsidR="00F11D20">
        <w:rPr>
          <w:rFonts w:ascii="Times New Roman" w:hAnsi="Times New Roman" w:cs="Times New Roman"/>
          <w:sz w:val="24"/>
          <w:szCs w:val="24"/>
        </w:rPr>
        <w:t xml:space="preserve">CEE </w:t>
      </w:r>
      <w:r w:rsidR="00067137">
        <w:rPr>
          <w:rFonts w:ascii="Times New Roman" w:hAnsi="Times New Roman" w:cs="Times New Roman"/>
          <w:sz w:val="24"/>
          <w:szCs w:val="24"/>
        </w:rPr>
        <w:t>transitional justice scholarship</w:t>
      </w:r>
      <w:r w:rsidR="00F11D20">
        <w:rPr>
          <w:rFonts w:ascii="Times New Roman" w:hAnsi="Times New Roman" w:cs="Times New Roman"/>
          <w:sz w:val="24"/>
          <w:szCs w:val="24"/>
        </w:rPr>
        <w:t xml:space="preserve">, </w:t>
      </w:r>
      <w:r w:rsidR="00331BBF">
        <w:rPr>
          <w:rFonts w:ascii="Times New Roman" w:hAnsi="Times New Roman" w:cs="Times New Roman"/>
          <w:sz w:val="24"/>
          <w:szCs w:val="24"/>
        </w:rPr>
        <w:t xml:space="preserve">attending to what we know about the </w:t>
      </w:r>
      <w:r w:rsidR="00067137">
        <w:rPr>
          <w:rFonts w:ascii="Times New Roman" w:hAnsi="Times New Roman" w:cs="Times New Roman"/>
          <w:sz w:val="24"/>
          <w:szCs w:val="24"/>
        </w:rPr>
        <w:t xml:space="preserve">impact of </w:t>
      </w:r>
      <w:r w:rsidR="00F11D20">
        <w:rPr>
          <w:rFonts w:ascii="Times New Roman" w:hAnsi="Times New Roman" w:cs="Times New Roman"/>
          <w:sz w:val="24"/>
          <w:szCs w:val="24"/>
        </w:rPr>
        <w:t>lustration</w:t>
      </w:r>
      <w:r w:rsidR="00067137">
        <w:rPr>
          <w:rFonts w:ascii="Times New Roman" w:hAnsi="Times New Roman" w:cs="Times New Roman"/>
          <w:sz w:val="24"/>
          <w:szCs w:val="24"/>
        </w:rPr>
        <w:t xml:space="preserve"> measures on transition goals</w:t>
      </w:r>
      <w:r w:rsidR="00331BBF">
        <w:rPr>
          <w:rFonts w:ascii="Times New Roman" w:hAnsi="Times New Roman" w:cs="Times New Roman"/>
          <w:sz w:val="24"/>
          <w:szCs w:val="24"/>
        </w:rPr>
        <w:t xml:space="preserve"> like</w:t>
      </w:r>
      <w:r w:rsidR="00067137">
        <w:rPr>
          <w:rFonts w:ascii="Times New Roman" w:hAnsi="Times New Roman" w:cs="Times New Roman"/>
          <w:sz w:val="24"/>
          <w:szCs w:val="24"/>
        </w:rPr>
        <w:t xml:space="preserve"> </w:t>
      </w:r>
      <w:r w:rsidR="00331BBF">
        <w:rPr>
          <w:rFonts w:ascii="Times New Roman" w:hAnsi="Times New Roman" w:cs="Times New Roman"/>
          <w:sz w:val="24"/>
          <w:szCs w:val="24"/>
        </w:rPr>
        <w:t>the promotion of good governance and</w:t>
      </w:r>
      <w:r w:rsidR="00067137">
        <w:rPr>
          <w:rFonts w:ascii="Times New Roman" w:hAnsi="Times New Roman" w:cs="Times New Roman"/>
          <w:sz w:val="24"/>
          <w:szCs w:val="24"/>
        </w:rPr>
        <w:t xml:space="preserve"> democratization</w:t>
      </w:r>
      <w:r w:rsidR="00F11D20">
        <w:rPr>
          <w:rFonts w:ascii="Times New Roman" w:hAnsi="Times New Roman" w:cs="Times New Roman"/>
          <w:sz w:val="24"/>
          <w:szCs w:val="24"/>
        </w:rPr>
        <w:t xml:space="preserve">, in order to </w:t>
      </w:r>
      <w:r w:rsidR="00067137">
        <w:rPr>
          <w:rFonts w:ascii="Times New Roman" w:hAnsi="Times New Roman" w:cs="Times New Roman"/>
          <w:sz w:val="24"/>
          <w:szCs w:val="24"/>
        </w:rPr>
        <w:t>situating the Ukraine legislation in comparative perspective</w:t>
      </w:r>
      <w:r w:rsidR="00F11D20">
        <w:rPr>
          <w:rFonts w:ascii="Times New Roman" w:hAnsi="Times New Roman" w:cs="Times New Roman"/>
          <w:sz w:val="24"/>
          <w:szCs w:val="24"/>
        </w:rPr>
        <w:t>. S</w:t>
      </w:r>
      <w:r w:rsidR="00067137">
        <w:rPr>
          <w:rFonts w:ascii="Times New Roman" w:hAnsi="Times New Roman" w:cs="Times New Roman"/>
          <w:sz w:val="24"/>
          <w:szCs w:val="24"/>
        </w:rPr>
        <w:t xml:space="preserve">he highlights that many of the current critiques of Ukraine’s laws and intentions resonate with other post-communist programs. While not minimizing the potential dilemmas associated with measures that could violate due process or retroactivity prohibitions, she also demonstrates that lustration has had a generally positive effect on transition goals in CEE. To the extent that Ukraine’s measures can replicate some of the scope and implementation components of CEE that have proven efficacious, there is a real possibility for beneficial reforms to arise </w:t>
      </w:r>
      <w:r w:rsidR="00067137">
        <w:rPr>
          <w:rFonts w:ascii="Times New Roman" w:hAnsi="Times New Roman" w:cs="Times New Roman"/>
          <w:sz w:val="24"/>
          <w:szCs w:val="24"/>
        </w:rPr>
        <w:lastRenderedPageBreak/>
        <w:t xml:space="preserve">from Ukraine’s lustration efforts. Moreover, the late timing of lustration in Ukraine begs the question whether it is too late for Ukraine, and the FSU, to use such transitional justice measures. By utilizing an explicitly comparative perspective, Horne is able to show that there is significantly more latitude in the temporal conditions surrounding the use of </w:t>
      </w:r>
      <w:r w:rsidR="00F11D20">
        <w:rPr>
          <w:rFonts w:ascii="Times New Roman" w:hAnsi="Times New Roman" w:cs="Times New Roman"/>
          <w:sz w:val="24"/>
          <w:szCs w:val="24"/>
        </w:rPr>
        <w:t>this transitional justice measure</w:t>
      </w:r>
      <w:r w:rsidR="00067137">
        <w:rPr>
          <w:rFonts w:ascii="Times New Roman" w:hAnsi="Times New Roman" w:cs="Times New Roman"/>
          <w:sz w:val="24"/>
          <w:szCs w:val="24"/>
        </w:rPr>
        <w:t xml:space="preserve">. </w:t>
      </w:r>
      <w:r w:rsidR="00F11D20">
        <w:rPr>
          <w:rFonts w:ascii="Times New Roman" w:hAnsi="Times New Roman" w:cs="Times New Roman"/>
          <w:sz w:val="24"/>
          <w:szCs w:val="24"/>
        </w:rPr>
        <w:t>H</w:t>
      </w:r>
      <w:r w:rsidR="00067137">
        <w:rPr>
          <w:rFonts w:ascii="Times New Roman" w:hAnsi="Times New Roman" w:cs="Times New Roman"/>
          <w:sz w:val="24"/>
          <w:szCs w:val="24"/>
        </w:rPr>
        <w:t xml:space="preserve">orne’s comparative approach helps to </w:t>
      </w:r>
      <w:r w:rsidR="00331BBF">
        <w:rPr>
          <w:rFonts w:ascii="Times New Roman" w:hAnsi="Times New Roman" w:cs="Times New Roman"/>
          <w:sz w:val="24"/>
          <w:szCs w:val="24"/>
        </w:rPr>
        <w:t xml:space="preserve">adjudicate temporal, scope and implementation considerations with respect to </w:t>
      </w:r>
      <w:r w:rsidR="00067137">
        <w:rPr>
          <w:rFonts w:ascii="Times New Roman" w:hAnsi="Times New Roman" w:cs="Times New Roman"/>
          <w:sz w:val="24"/>
          <w:szCs w:val="24"/>
        </w:rPr>
        <w:t xml:space="preserve">Ukraine’s </w:t>
      </w:r>
      <w:r w:rsidR="00331BBF">
        <w:rPr>
          <w:rFonts w:ascii="Times New Roman" w:hAnsi="Times New Roman" w:cs="Times New Roman"/>
          <w:sz w:val="24"/>
          <w:szCs w:val="24"/>
        </w:rPr>
        <w:t>on-going transitional justice measures</w:t>
      </w:r>
      <w:r w:rsidR="00067137">
        <w:rPr>
          <w:rFonts w:ascii="Times New Roman" w:hAnsi="Times New Roman" w:cs="Times New Roman"/>
          <w:sz w:val="24"/>
          <w:szCs w:val="24"/>
        </w:rPr>
        <w:t>.</w:t>
      </w:r>
    </w:p>
    <w:p w:rsidR="008B6C16" w:rsidRPr="008B6C16" w:rsidRDefault="009E027E" w:rsidP="007F7325">
      <w:pPr>
        <w:spacing w:after="0" w:line="480" w:lineRule="auto"/>
        <w:ind w:firstLine="720"/>
        <w:rPr>
          <w:rFonts w:ascii="Times New Roman" w:hAnsi="Times New Roman" w:cs="Times New Roman"/>
          <w:i/>
          <w:sz w:val="24"/>
          <w:szCs w:val="24"/>
        </w:rPr>
      </w:pPr>
      <w:r w:rsidRPr="008B6C16">
        <w:rPr>
          <w:rFonts w:ascii="Times New Roman" w:hAnsi="Times New Roman" w:cs="Times New Roman"/>
          <w:sz w:val="24"/>
          <w:szCs w:val="24"/>
        </w:rPr>
        <w:t>Other chapters e</w:t>
      </w:r>
      <w:r w:rsidR="001C39CA">
        <w:rPr>
          <w:rFonts w:ascii="Times New Roman" w:hAnsi="Times New Roman" w:cs="Times New Roman"/>
          <w:sz w:val="24"/>
          <w:szCs w:val="24"/>
        </w:rPr>
        <w:t>xamine</w:t>
      </w:r>
      <w:r w:rsidRPr="008B6C16">
        <w:rPr>
          <w:rFonts w:ascii="Times New Roman" w:hAnsi="Times New Roman" w:cs="Times New Roman"/>
          <w:sz w:val="24"/>
          <w:szCs w:val="24"/>
        </w:rPr>
        <w:t xml:space="preserve"> external influences on transitional justice in the FSU. Notably, </w:t>
      </w:r>
      <w:proofErr w:type="spellStart"/>
      <w:r w:rsidRPr="008B6C16">
        <w:rPr>
          <w:rFonts w:ascii="Times New Roman" w:hAnsi="Times New Roman" w:cs="Times New Roman"/>
          <w:sz w:val="24"/>
          <w:szCs w:val="24"/>
        </w:rPr>
        <w:t>Agata</w:t>
      </w:r>
      <w:proofErr w:type="spellEnd"/>
      <w:r w:rsidRPr="008B6C16">
        <w:rPr>
          <w:rFonts w:ascii="Times New Roman" w:hAnsi="Times New Roman" w:cs="Times New Roman"/>
          <w:sz w:val="24"/>
          <w:szCs w:val="24"/>
        </w:rPr>
        <w:t xml:space="preserve"> </w:t>
      </w:r>
      <w:proofErr w:type="spellStart"/>
      <w:r w:rsidRPr="008B6C16">
        <w:rPr>
          <w:rFonts w:ascii="Times New Roman" w:hAnsi="Times New Roman" w:cs="Times New Roman"/>
          <w:sz w:val="24"/>
          <w:szCs w:val="24"/>
        </w:rPr>
        <w:t>Fijalkowski’s</w:t>
      </w:r>
      <w:proofErr w:type="spellEnd"/>
      <w:r w:rsidRPr="008B6C16">
        <w:rPr>
          <w:rFonts w:ascii="Times New Roman" w:hAnsi="Times New Roman" w:cs="Times New Roman"/>
          <w:sz w:val="24"/>
          <w:szCs w:val="24"/>
        </w:rPr>
        <w:t xml:space="preserve"> chapter “Historical Politics and Co</w:t>
      </w:r>
      <w:r w:rsidR="00331BBF">
        <w:rPr>
          <w:rFonts w:ascii="Times New Roman" w:hAnsi="Times New Roman" w:cs="Times New Roman"/>
          <w:sz w:val="24"/>
          <w:szCs w:val="24"/>
        </w:rPr>
        <w:t>urt Redress in the Baltic States</w:t>
      </w:r>
      <w:r w:rsidRPr="008B6C16">
        <w:rPr>
          <w:rFonts w:ascii="Times New Roman" w:hAnsi="Times New Roman" w:cs="Times New Roman"/>
          <w:sz w:val="24"/>
          <w:szCs w:val="24"/>
        </w:rPr>
        <w:t>” explores the way that the European Court of Human Rights (</w:t>
      </w:r>
      <w:proofErr w:type="spellStart"/>
      <w:r w:rsidRPr="008B6C16">
        <w:rPr>
          <w:rFonts w:ascii="Times New Roman" w:hAnsi="Times New Roman" w:cs="Times New Roman"/>
          <w:sz w:val="24"/>
          <w:szCs w:val="24"/>
        </w:rPr>
        <w:t>ECtHR</w:t>
      </w:r>
      <w:proofErr w:type="spellEnd"/>
      <w:r w:rsidRPr="008B6C16">
        <w:rPr>
          <w:rFonts w:ascii="Times New Roman" w:hAnsi="Times New Roman" w:cs="Times New Roman"/>
          <w:sz w:val="24"/>
          <w:szCs w:val="24"/>
        </w:rPr>
        <w:t>) has framed and interpreted communist-era crimes. The chapter is unusual in considering court verdicts and the</w:t>
      </w:r>
      <w:r w:rsidR="00B915CE">
        <w:rPr>
          <w:rFonts w:ascii="Times New Roman" w:hAnsi="Times New Roman" w:cs="Times New Roman"/>
          <w:sz w:val="24"/>
          <w:szCs w:val="24"/>
        </w:rPr>
        <w:t>ir</w:t>
      </w:r>
      <w:r w:rsidRPr="008B6C16">
        <w:rPr>
          <w:rFonts w:ascii="Times New Roman" w:hAnsi="Times New Roman" w:cs="Times New Roman"/>
          <w:sz w:val="24"/>
          <w:szCs w:val="24"/>
        </w:rPr>
        <w:t xml:space="preserve"> legal reasoning as forms of transitional just</w:t>
      </w:r>
      <w:r w:rsidRPr="00F11D20">
        <w:rPr>
          <w:rFonts w:ascii="Times New Roman" w:hAnsi="Times New Roman" w:cs="Times New Roman"/>
          <w:sz w:val="24"/>
          <w:szCs w:val="24"/>
        </w:rPr>
        <w:t>ice</w:t>
      </w:r>
      <w:r w:rsidR="001C39CA">
        <w:rPr>
          <w:rFonts w:ascii="Times New Roman" w:hAnsi="Times New Roman" w:cs="Times New Roman"/>
          <w:sz w:val="24"/>
          <w:szCs w:val="24"/>
        </w:rPr>
        <w:t>. More precisely, she explore</w:t>
      </w:r>
      <w:r w:rsidR="000A4561">
        <w:rPr>
          <w:rFonts w:ascii="Times New Roman" w:hAnsi="Times New Roman" w:cs="Times New Roman"/>
          <w:sz w:val="24"/>
          <w:szCs w:val="24"/>
        </w:rPr>
        <w:t>s</w:t>
      </w:r>
      <w:r w:rsidRPr="00F11D20">
        <w:rPr>
          <w:rFonts w:ascii="Times New Roman" w:hAnsi="Times New Roman" w:cs="Times New Roman"/>
          <w:sz w:val="24"/>
          <w:szCs w:val="24"/>
        </w:rPr>
        <w:t xml:space="preserve"> the way an international actor—the </w:t>
      </w:r>
      <w:proofErr w:type="spellStart"/>
      <w:r w:rsidRPr="00F11D20">
        <w:rPr>
          <w:rFonts w:ascii="Times New Roman" w:hAnsi="Times New Roman" w:cs="Times New Roman"/>
          <w:sz w:val="24"/>
          <w:szCs w:val="24"/>
        </w:rPr>
        <w:t>ECtHR</w:t>
      </w:r>
      <w:proofErr w:type="spellEnd"/>
      <w:r w:rsidRPr="00F11D20">
        <w:rPr>
          <w:rFonts w:ascii="Times New Roman" w:hAnsi="Times New Roman" w:cs="Times New Roman"/>
          <w:sz w:val="24"/>
          <w:szCs w:val="24"/>
        </w:rPr>
        <w:t>—has affected domestic interpretations of history and justice</w:t>
      </w:r>
      <w:r w:rsidR="001C39CA">
        <w:rPr>
          <w:rFonts w:ascii="Times New Roman" w:hAnsi="Times New Roman" w:cs="Times New Roman"/>
          <w:sz w:val="24"/>
          <w:szCs w:val="24"/>
        </w:rPr>
        <w:t xml:space="preserve"> in the </w:t>
      </w:r>
      <w:proofErr w:type="spellStart"/>
      <w:r w:rsidR="001C39CA">
        <w:rPr>
          <w:rFonts w:ascii="Times New Roman" w:hAnsi="Times New Roman" w:cs="Times New Roman"/>
          <w:sz w:val="24"/>
          <w:szCs w:val="24"/>
        </w:rPr>
        <w:t>Baltics</w:t>
      </w:r>
      <w:proofErr w:type="spellEnd"/>
      <w:r w:rsidRPr="00F11D20">
        <w:rPr>
          <w:rFonts w:ascii="Times New Roman" w:hAnsi="Times New Roman" w:cs="Times New Roman"/>
          <w:sz w:val="24"/>
          <w:szCs w:val="24"/>
        </w:rPr>
        <w:t>.</w:t>
      </w:r>
      <w:r w:rsidR="008B6C16" w:rsidRPr="00F11D20">
        <w:rPr>
          <w:rFonts w:ascii="Times New Roman" w:hAnsi="Times New Roman" w:cs="Times New Roman"/>
          <w:sz w:val="24"/>
          <w:szCs w:val="24"/>
        </w:rPr>
        <w:t xml:space="preserve"> </w:t>
      </w:r>
      <w:proofErr w:type="spellStart"/>
      <w:r w:rsidR="008B6C16" w:rsidRPr="00F11D20">
        <w:rPr>
          <w:rFonts w:ascii="Times New Roman" w:hAnsi="Times New Roman" w:cs="Times New Roman"/>
          <w:sz w:val="24"/>
          <w:szCs w:val="24"/>
          <w:shd w:val="clear" w:color="auto" w:fill="FFFFFF"/>
        </w:rPr>
        <w:t>Fijalkowski</w:t>
      </w:r>
      <w:proofErr w:type="spellEnd"/>
      <w:r w:rsidR="008B6C16" w:rsidRPr="00F11D20">
        <w:rPr>
          <w:rFonts w:ascii="Times New Roman" w:hAnsi="Times New Roman" w:cs="Times New Roman"/>
          <w:sz w:val="24"/>
          <w:szCs w:val="24"/>
          <w:shd w:val="clear" w:color="auto" w:fill="FFFFFF"/>
        </w:rPr>
        <w:t xml:space="preserve"> argues that</w:t>
      </w:r>
      <w:r w:rsidRPr="00F11D20">
        <w:rPr>
          <w:rFonts w:ascii="Times New Roman" w:hAnsi="Times New Roman" w:cs="Times New Roman"/>
          <w:sz w:val="24"/>
          <w:szCs w:val="24"/>
          <w:shd w:val="clear" w:color="auto" w:fill="FFFFFF"/>
        </w:rPr>
        <w:t xml:space="preserve"> </w:t>
      </w:r>
      <w:r w:rsidR="008B6C16" w:rsidRPr="00F11D20">
        <w:rPr>
          <w:rFonts w:ascii="Times New Roman" w:hAnsi="Times New Roman" w:cs="Times New Roman"/>
          <w:sz w:val="24"/>
          <w:szCs w:val="24"/>
          <w:shd w:val="clear" w:color="auto" w:fill="FFFFFF"/>
        </w:rPr>
        <w:t>legal decisions regarding</w:t>
      </w:r>
      <w:r w:rsidRPr="00F11D20">
        <w:rPr>
          <w:rFonts w:ascii="Times New Roman" w:hAnsi="Times New Roman" w:cs="Times New Roman"/>
          <w:sz w:val="24"/>
          <w:szCs w:val="24"/>
          <w:shd w:val="clear" w:color="auto" w:fill="FFFFFF"/>
        </w:rPr>
        <w:t xml:space="preserve"> which communist-era actions are characterized as actionable crimes constitute important practices of transitional justice.</w:t>
      </w:r>
      <w:r w:rsidRPr="00F11D20">
        <w:rPr>
          <w:rFonts w:ascii="Times New Roman" w:hAnsi="Times New Roman" w:cs="Times New Roman"/>
          <w:sz w:val="24"/>
          <w:szCs w:val="24"/>
        </w:rPr>
        <w:t xml:space="preserve"> </w:t>
      </w:r>
      <w:proofErr w:type="spellStart"/>
      <w:r w:rsidR="008B6C16" w:rsidRPr="00F11D20">
        <w:rPr>
          <w:rFonts w:ascii="Times New Roman" w:hAnsi="Times New Roman" w:cs="Times New Roman"/>
          <w:sz w:val="24"/>
          <w:szCs w:val="24"/>
        </w:rPr>
        <w:t>Fijalkowski</w:t>
      </w:r>
      <w:proofErr w:type="spellEnd"/>
      <w:r w:rsidR="008B6C16" w:rsidRPr="00F11D20">
        <w:rPr>
          <w:rFonts w:ascii="Times New Roman" w:hAnsi="Times New Roman" w:cs="Times New Roman"/>
          <w:sz w:val="24"/>
          <w:szCs w:val="24"/>
        </w:rPr>
        <w:t xml:space="preserve"> considers cases </w:t>
      </w:r>
      <w:proofErr w:type="gramStart"/>
      <w:r w:rsidR="008B6C16" w:rsidRPr="00F11D20">
        <w:rPr>
          <w:rFonts w:ascii="Times New Roman" w:hAnsi="Times New Roman" w:cs="Times New Roman"/>
          <w:sz w:val="24"/>
          <w:szCs w:val="24"/>
        </w:rPr>
        <w:t>raised</w:t>
      </w:r>
      <w:proofErr w:type="gramEnd"/>
      <w:r w:rsidR="008B6C16" w:rsidRPr="00F11D20">
        <w:rPr>
          <w:rFonts w:ascii="Times New Roman" w:hAnsi="Times New Roman" w:cs="Times New Roman"/>
          <w:sz w:val="24"/>
          <w:szCs w:val="24"/>
        </w:rPr>
        <w:t xml:space="preserve"> by Estonia, Lithuania and Latvia and heard by the </w:t>
      </w:r>
      <w:proofErr w:type="spellStart"/>
      <w:r w:rsidR="008B6C16" w:rsidRPr="00F11D20">
        <w:rPr>
          <w:rFonts w:ascii="Times New Roman" w:hAnsi="Times New Roman" w:cs="Times New Roman"/>
          <w:sz w:val="24"/>
          <w:szCs w:val="24"/>
        </w:rPr>
        <w:t>ECtHR</w:t>
      </w:r>
      <w:proofErr w:type="spellEnd"/>
      <w:r w:rsidR="008B6C16" w:rsidRPr="00F11D20">
        <w:rPr>
          <w:rFonts w:ascii="Times New Roman" w:hAnsi="Times New Roman" w:cs="Times New Roman"/>
          <w:sz w:val="24"/>
          <w:szCs w:val="24"/>
        </w:rPr>
        <w:t xml:space="preserve">. Through an analysis of three court cases, </w:t>
      </w:r>
      <w:r w:rsidR="008B6C16" w:rsidRPr="00F11D20">
        <w:rPr>
          <w:rFonts w:ascii="Times New Roman" w:hAnsi="Times New Roman" w:cs="Times New Roman"/>
          <w:sz w:val="24"/>
          <w:szCs w:val="24"/>
          <w:shd w:val="clear" w:color="auto" w:fill="FFFFFF"/>
        </w:rPr>
        <w:t>her chapter illustrate</w:t>
      </w:r>
      <w:r w:rsidR="000C7804">
        <w:rPr>
          <w:rFonts w:ascii="Times New Roman" w:hAnsi="Times New Roman" w:cs="Times New Roman"/>
          <w:sz w:val="24"/>
          <w:szCs w:val="24"/>
          <w:shd w:val="clear" w:color="auto" w:fill="FFFFFF"/>
        </w:rPr>
        <w:t>s</w:t>
      </w:r>
      <w:r w:rsidR="008B6C16" w:rsidRPr="00F11D20">
        <w:rPr>
          <w:rFonts w:ascii="Times New Roman" w:hAnsi="Times New Roman" w:cs="Times New Roman"/>
          <w:sz w:val="24"/>
          <w:szCs w:val="24"/>
          <w:shd w:val="clear" w:color="auto" w:fill="FFFFFF"/>
        </w:rPr>
        <w:t xml:space="preserve"> areas in which domestic and international actors contest memory. She argues that t</w:t>
      </w:r>
      <w:r w:rsidR="008B6C16" w:rsidRPr="00F11D20">
        <w:rPr>
          <w:rFonts w:ascii="Times New Roman" w:hAnsi="Times New Roman" w:cs="Times New Roman"/>
          <w:sz w:val="24"/>
          <w:szCs w:val="24"/>
        </w:rPr>
        <w:t xml:space="preserve">he </w:t>
      </w:r>
      <w:proofErr w:type="spellStart"/>
      <w:r w:rsidR="008B6C16" w:rsidRPr="00F11D20">
        <w:rPr>
          <w:rFonts w:ascii="Times New Roman" w:hAnsi="Times New Roman" w:cs="Times New Roman"/>
          <w:sz w:val="24"/>
          <w:szCs w:val="24"/>
        </w:rPr>
        <w:t>ECtHR</w:t>
      </w:r>
      <w:proofErr w:type="spellEnd"/>
      <w:r w:rsidR="008B6C16" w:rsidRPr="00F11D20">
        <w:rPr>
          <w:rFonts w:ascii="Times New Roman" w:hAnsi="Times New Roman" w:cs="Times New Roman"/>
          <w:sz w:val="24"/>
          <w:szCs w:val="24"/>
        </w:rPr>
        <w:t xml:space="preserve"> is increasingly playing an important role in the validation of key historical narratives in post-communist Europe, with unexpected consequences for the definition of key crimes and the way these definitions are contested. </w:t>
      </w:r>
      <w:r w:rsidR="008B6C16" w:rsidRPr="008B6C16">
        <w:rPr>
          <w:rFonts w:ascii="Times New Roman" w:hAnsi="Times New Roman" w:cs="Times New Roman"/>
          <w:sz w:val="24"/>
          <w:szCs w:val="24"/>
        </w:rPr>
        <w:t xml:space="preserve">Saliently for other FSU cases, her chapter hints at the selective manner in which some histories are repressed and others are validated in an effort to create a new national </w:t>
      </w:r>
      <w:r w:rsidR="00653107">
        <w:rPr>
          <w:rFonts w:ascii="Times New Roman" w:hAnsi="Times New Roman" w:cs="Times New Roman"/>
          <w:sz w:val="24"/>
          <w:szCs w:val="24"/>
        </w:rPr>
        <w:t>state-building</w:t>
      </w:r>
      <w:r w:rsidR="008B6C16" w:rsidRPr="008B6C16">
        <w:rPr>
          <w:rFonts w:ascii="Times New Roman" w:hAnsi="Times New Roman" w:cs="Times New Roman"/>
          <w:sz w:val="24"/>
          <w:szCs w:val="24"/>
        </w:rPr>
        <w:t xml:space="preserve"> narrative.</w:t>
      </w:r>
      <w:r w:rsidR="008B6C16">
        <w:rPr>
          <w:rFonts w:ascii="Times New Roman" w:hAnsi="Times New Roman" w:cs="Times New Roman"/>
          <w:sz w:val="24"/>
          <w:szCs w:val="24"/>
        </w:rPr>
        <w:t xml:space="preserve"> </w:t>
      </w:r>
      <w:r w:rsidR="001C39CA">
        <w:rPr>
          <w:rFonts w:ascii="Times New Roman" w:hAnsi="Times New Roman" w:cs="Times New Roman"/>
          <w:sz w:val="24"/>
          <w:szCs w:val="24"/>
        </w:rPr>
        <w:t>As such, this chapter presents a third transitional justice</w:t>
      </w:r>
      <w:r w:rsidR="000C7804">
        <w:rPr>
          <w:rFonts w:ascii="Times New Roman" w:hAnsi="Times New Roman" w:cs="Times New Roman"/>
          <w:sz w:val="24"/>
          <w:szCs w:val="24"/>
        </w:rPr>
        <w:t xml:space="preserve"> method</w:t>
      </w:r>
      <w:r w:rsidR="001C39CA">
        <w:rPr>
          <w:rFonts w:ascii="Times New Roman" w:hAnsi="Times New Roman" w:cs="Times New Roman"/>
          <w:sz w:val="24"/>
          <w:szCs w:val="24"/>
        </w:rPr>
        <w:t>—court trials—that could still be applied to FSU</w:t>
      </w:r>
      <w:r w:rsidR="000C7804">
        <w:rPr>
          <w:rFonts w:ascii="Times New Roman" w:hAnsi="Times New Roman" w:cs="Times New Roman"/>
          <w:sz w:val="24"/>
          <w:szCs w:val="24"/>
        </w:rPr>
        <w:t xml:space="preserve"> states</w:t>
      </w:r>
      <w:r w:rsidR="001C39CA">
        <w:rPr>
          <w:rFonts w:ascii="Times New Roman" w:hAnsi="Times New Roman" w:cs="Times New Roman"/>
          <w:sz w:val="24"/>
          <w:szCs w:val="24"/>
        </w:rPr>
        <w:t>.</w:t>
      </w:r>
    </w:p>
    <w:p w:rsidR="00C61AF2" w:rsidRDefault="001911CB" w:rsidP="007F73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E37E58">
        <w:rPr>
          <w:rFonts w:ascii="Times New Roman" w:hAnsi="Times New Roman" w:cs="Times New Roman"/>
          <w:sz w:val="24"/>
          <w:szCs w:val="24"/>
        </w:rPr>
        <w:t>his volume constitutes the first systematic attempt to reflect on what we know about the presence or absence of transitional justice in the FSU on the 25</w:t>
      </w:r>
      <w:r w:rsidR="00E37E58" w:rsidRPr="007608F1">
        <w:rPr>
          <w:rFonts w:ascii="Times New Roman" w:hAnsi="Times New Roman" w:cs="Times New Roman"/>
          <w:sz w:val="24"/>
          <w:szCs w:val="24"/>
          <w:vertAlign w:val="superscript"/>
        </w:rPr>
        <w:t>th</w:t>
      </w:r>
      <w:r w:rsidR="00E37E58">
        <w:rPr>
          <w:rFonts w:ascii="Times New Roman" w:hAnsi="Times New Roman" w:cs="Times New Roman"/>
          <w:sz w:val="24"/>
          <w:szCs w:val="24"/>
        </w:rPr>
        <w:t xml:space="preserve"> anniversary of the end of the Soviet Union. </w:t>
      </w:r>
      <w:r w:rsidR="008B10BD">
        <w:rPr>
          <w:rFonts w:ascii="Times New Roman" w:hAnsi="Times New Roman" w:cs="Times New Roman"/>
          <w:sz w:val="24"/>
          <w:szCs w:val="24"/>
        </w:rPr>
        <w:t>We bring</w:t>
      </w:r>
      <w:r w:rsidR="00E37E58">
        <w:rPr>
          <w:rFonts w:ascii="Times New Roman" w:hAnsi="Times New Roman" w:cs="Times New Roman"/>
          <w:sz w:val="24"/>
          <w:szCs w:val="24"/>
        </w:rPr>
        <w:t xml:space="preserve"> together fourteen</w:t>
      </w:r>
      <w:r w:rsidR="007608F1">
        <w:rPr>
          <w:rFonts w:ascii="Times New Roman" w:hAnsi="Times New Roman" w:cs="Times New Roman"/>
          <w:sz w:val="24"/>
          <w:szCs w:val="24"/>
        </w:rPr>
        <w:t xml:space="preserve"> scholars with backgrounds in both transitional justice scholarship and a deep historical understanding of the communist system and its unique post-communist legacies. This is an unusual combination, since the focus of most transitional justice literature has not been on the FSU space and most of the scholarship on the FSU has not engaged with issues of transitional justice. The scholars come from an array of research disciplines, including political science, history, sociology, and law, thereby providing an interdisciplinary perspective on regional transitional justice measures. T</w:t>
      </w:r>
      <w:r w:rsidR="007608F1" w:rsidRPr="004A1D88">
        <w:rPr>
          <w:rFonts w:ascii="Times New Roman" w:hAnsi="Times New Roman" w:cs="Times New Roman"/>
          <w:sz w:val="24"/>
          <w:szCs w:val="24"/>
        </w:rPr>
        <w:t xml:space="preserve">he </w:t>
      </w:r>
      <w:r w:rsidR="007608F1">
        <w:rPr>
          <w:rFonts w:ascii="Times New Roman" w:hAnsi="Times New Roman" w:cs="Times New Roman"/>
          <w:sz w:val="24"/>
          <w:szCs w:val="24"/>
        </w:rPr>
        <w:t xml:space="preserve">temporal and empirical breadth of the </w:t>
      </w:r>
      <w:r w:rsidR="007608F1" w:rsidRPr="004A1D88">
        <w:rPr>
          <w:rFonts w:ascii="Times New Roman" w:hAnsi="Times New Roman" w:cs="Times New Roman"/>
          <w:sz w:val="24"/>
          <w:szCs w:val="24"/>
        </w:rPr>
        <w:t xml:space="preserve">volume </w:t>
      </w:r>
      <w:r w:rsidR="007608F1">
        <w:rPr>
          <w:rFonts w:ascii="Times New Roman" w:hAnsi="Times New Roman" w:cs="Times New Roman"/>
          <w:sz w:val="24"/>
          <w:szCs w:val="24"/>
        </w:rPr>
        <w:t xml:space="preserve">allows for engagement with both the </w:t>
      </w:r>
      <w:r w:rsidR="007608F1" w:rsidRPr="004A1D88">
        <w:rPr>
          <w:rFonts w:ascii="Times New Roman" w:hAnsi="Times New Roman" w:cs="Times New Roman"/>
          <w:sz w:val="24"/>
          <w:szCs w:val="24"/>
        </w:rPr>
        <w:t xml:space="preserve">most important and the most neglected factors shaping transitional justice in </w:t>
      </w:r>
      <w:r w:rsidR="007608F1">
        <w:rPr>
          <w:rFonts w:ascii="Times New Roman" w:hAnsi="Times New Roman" w:cs="Times New Roman"/>
          <w:sz w:val="24"/>
          <w:szCs w:val="24"/>
        </w:rPr>
        <w:t>the FSU</w:t>
      </w:r>
      <w:r w:rsidR="007608F1" w:rsidRPr="004A1D88">
        <w:rPr>
          <w:rFonts w:ascii="Times New Roman" w:hAnsi="Times New Roman" w:cs="Times New Roman"/>
          <w:sz w:val="24"/>
          <w:szCs w:val="24"/>
        </w:rPr>
        <w:t>.</w:t>
      </w:r>
      <w:r w:rsidR="007608F1">
        <w:rPr>
          <w:rFonts w:ascii="Times New Roman" w:hAnsi="Times New Roman" w:cs="Times New Roman"/>
          <w:sz w:val="24"/>
          <w:szCs w:val="24"/>
        </w:rPr>
        <w:t xml:space="preserve"> </w:t>
      </w:r>
      <w:r w:rsidR="00E37E58">
        <w:rPr>
          <w:rFonts w:ascii="Times New Roman" w:hAnsi="Times New Roman" w:cs="Times New Roman"/>
          <w:sz w:val="24"/>
          <w:szCs w:val="24"/>
        </w:rPr>
        <w:t>We hope this volume</w:t>
      </w:r>
      <w:r w:rsidR="007608F1">
        <w:rPr>
          <w:rFonts w:ascii="Times New Roman" w:hAnsi="Times New Roman" w:cs="Times New Roman"/>
          <w:sz w:val="24"/>
          <w:szCs w:val="24"/>
        </w:rPr>
        <w:t xml:space="preserve"> starts a dialogue</w:t>
      </w:r>
      <w:r w:rsidR="00E37E58">
        <w:rPr>
          <w:rFonts w:ascii="Times New Roman" w:hAnsi="Times New Roman" w:cs="Times New Roman"/>
          <w:sz w:val="24"/>
          <w:szCs w:val="24"/>
        </w:rPr>
        <w:t>,</w:t>
      </w:r>
      <w:r w:rsidR="007608F1">
        <w:rPr>
          <w:rFonts w:ascii="Times New Roman" w:hAnsi="Times New Roman" w:cs="Times New Roman"/>
          <w:sz w:val="24"/>
          <w:szCs w:val="24"/>
        </w:rPr>
        <w:t xml:space="preserve"> </w:t>
      </w:r>
      <w:r w:rsidR="008B10BD">
        <w:rPr>
          <w:rFonts w:ascii="Times New Roman" w:hAnsi="Times New Roman" w:cs="Times New Roman"/>
          <w:sz w:val="24"/>
          <w:szCs w:val="24"/>
        </w:rPr>
        <w:t xml:space="preserve">raising questions and </w:t>
      </w:r>
      <w:r w:rsidR="007608F1">
        <w:rPr>
          <w:rFonts w:ascii="Times New Roman" w:hAnsi="Times New Roman" w:cs="Times New Roman"/>
          <w:sz w:val="24"/>
          <w:szCs w:val="24"/>
        </w:rPr>
        <w:t>connect</w:t>
      </w:r>
      <w:r w:rsidR="00E37E58">
        <w:rPr>
          <w:rFonts w:ascii="Times New Roman" w:hAnsi="Times New Roman" w:cs="Times New Roman"/>
          <w:sz w:val="24"/>
          <w:szCs w:val="24"/>
        </w:rPr>
        <w:t>ing</w:t>
      </w:r>
      <w:r w:rsidR="007608F1">
        <w:rPr>
          <w:rFonts w:ascii="Times New Roman" w:hAnsi="Times New Roman" w:cs="Times New Roman"/>
          <w:sz w:val="24"/>
          <w:szCs w:val="24"/>
        </w:rPr>
        <w:t xml:space="preserve"> the post-communist studies a</w:t>
      </w:r>
      <w:r w:rsidR="001F0B54">
        <w:rPr>
          <w:rFonts w:ascii="Times New Roman" w:hAnsi="Times New Roman" w:cs="Times New Roman"/>
          <w:sz w:val="24"/>
          <w:szCs w:val="24"/>
        </w:rPr>
        <w:t>nd transitional justice scholarly communities</w:t>
      </w:r>
      <w:r w:rsidR="00E37E58">
        <w:rPr>
          <w:rFonts w:ascii="Times New Roman" w:hAnsi="Times New Roman" w:cs="Times New Roman"/>
          <w:sz w:val="24"/>
          <w:szCs w:val="24"/>
        </w:rPr>
        <w:t xml:space="preserve"> as we move forward </w:t>
      </w:r>
      <w:r w:rsidR="003F5306">
        <w:rPr>
          <w:rFonts w:ascii="Times New Roman" w:hAnsi="Times New Roman" w:cs="Times New Roman"/>
          <w:sz w:val="24"/>
          <w:szCs w:val="24"/>
        </w:rPr>
        <w:t xml:space="preserve">together to better understand </w:t>
      </w:r>
      <w:r w:rsidR="001F0B54">
        <w:rPr>
          <w:rFonts w:ascii="Times New Roman" w:hAnsi="Times New Roman" w:cs="Times New Roman"/>
          <w:sz w:val="24"/>
          <w:szCs w:val="24"/>
        </w:rPr>
        <w:t xml:space="preserve">the past and </w:t>
      </w:r>
      <w:r w:rsidR="003F5306">
        <w:rPr>
          <w:rFonts w:ascii="Times New Roman" w:hAnsi="Times New Roman" w:cs="Times New Roman"/>
          <w:sz w:val="24"/>
          <w:szCs w:val="24"/>
        </w:rPr>
        <w:t xml:space="preserve">the </w:t>
      </w:r>
      <w:r w:rsidR="001F0B54">
        <w:rPr>
          <w:rFonts w:ascii="Times New Roman" w:hAnsi="Times New Roman" w:cs="Times New Roman"/>
          <w:sz w:val="24"/>
          <w:szCs w:val="24"/>
        </w:rPr>
        <w:t>future</w:t>
      </w:r>
      <w:r w:rsidR="007608F1">
        <w:rPr>
          <w:rFonts w:ascii="Times New Roman" w:hAnsi="Times New Roman" w:cs="Times New Roman"/>
          <w:sz w:val="24"/>
          <w:szCs w:val="24"/>
        </w:rPr>
        <w:t>.</w:t>
      </w:r>
    </w:p>
    <w:p w:rsidR="007608F1" w:rsidRDefault="007608F1" w:rsidP="00C60D6E">
      <w:pPr>
        <w:spacing w:after="0" w:line="480" w:lineRule="auto"/>
        <w:rPr>
          <w:rFonts w:ascii="Times New Roman" w:hAnsi="Times New Roman" w:cs="Times New Roman"/>
          <w:sz w:val="24"/>
          <w:szCs w:val="24"/>
        </w:rPr>
      </w:pPr>
    </w:p>
    <w:p w:rsidR="007608F1" w:rsidRPr="00C60D6E" w:rsidRDefault="00C61AF2" w:rsidP="007564E8">
      <w:pPr>
        <w:pStyle w:val="NormalWeb"/>
        <w:spacing w:before="0" w:beforeAutospacing="0" w:after="0" w:afterAutospacing="0"/>
        <w:rPr>
          <w:shd w:val="clear" w:color="auto" w:fill="FFFFFF"/>
        </w:rPr>
      </w:pPr>
      <w:r w:rsidRPr="00C60D6E">
        <w:rPr>
          <w:shd w:val="clear" w:color="auto" w:fill="FFFFFF"/>
        </w:rPr>
        <w:t>Notes:</w:t>
      </w:r>
    </w:p>
    <w:sectPr w:rsidR="007608F1" w:rsidRPr="00C60D6E" w:rsidSect="0037509F">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70" w:rsidRDefault="00E97170" w:rsidP="00A566AA">
      <w:pPr>
        <w:spacing w:after="0" w:line="240" w:lineRule="auto"/>
      </w:pPr>
      <w:r>
        <w:separator/>
      </w:r>
    </w:p>
  </w:endnote>
  <w:endnote w:type="continuationSeparator" w:id="0">
    <w:p w:rsidR="00E97170" w:rsidRDefault="00E97170" w:rsidP="00A566AA">
      <w:pPr>
        <w:spacing w:after="0" w:line="240" w:lineRule="auto"/>
      </w:pPr>
      <w:r>
        <w:continuationSeparator/>
      </w:r>
    </w:p>
  </w:endnote>
  <w:endnote w:id="1">
    <w:p w:rsidR="003A7732" w:rsidRPr="007564E8" w:rsidRDefault="003A7732" w:rsidP="003A7732">
      <w:pPr>
        <w:spacing w:after="0" w:line="480" w:lineRule="auto"/>
        <w:rPr>
          <w:rFonts w:ascii="Times New Roman" w:hAnsi="Times New Roman" w:cs="Times New Roman"/>
          <w:sz w:val="20"/>
          <w:szCs w:val="20"/>
        </w:rPr>
      </w:pPr>
      <w:r w:rsidRPr="007564E8">
        <w:rPr>
          <w:rStyle w:val="EndnoteReference"/>
          <w:rFonts w:ascii="Times New Roman" w:hAnsi="Times New Roman" w:cs="Times New Roman"/>
          <w:sz w:val="20"/>
          <w:szCs w:val="20"/>
        </w:rPr>
        <w:endnoteRef/>
      </w:r>
      <w:r w:rsidRPr="007564E8">
        <w:rPr>
          <w:rFonts w:ascii="Times New Roman" w:hAnsi="Times New Roman" w:cs="Times New Roman"/>
          <w:sz w:val="20"/>
          <w:szCs w:val="20"/>
        </w:rPr>
        <w:t xml:space="preserve"> Fine examples of recent monographs include: Roman David</w:t>
      </w:r>
      <w:r w:rsidR="00C47B21">
        <w:rPr>
          <w:rFonts w:ascii="Times New Roman" w:hAnsi="Times New Roman" w:cs="Times New Roman"/>
          <w:sz w:val="20"/>
          <w:szCs w:val="20"/>
        </w:rPr>
        <w:t>,</w:t>
      </w:r>
      <w:r w:rsidRPr="007564E8">
        <w:rPr>
          <w:rFonts w:ascii="Times New Roman" w:hAnsi="Times New Roman" w:cs="Times New Roman"/>
          <w:sz w:val="20"/>
          <w:szCs w:val="20"/>
        </w:rPr>
        <w:t xml:space="preserve"> </w:t>
      </w:r>
      <w:r w:rsidRPr="007564E8">
        <w:rPr>
          <w:rFonts w:ascii="Times New Roman" w:hAnsi="Times New Roman" w:cs="Times New Roman"/>
          <w:i/>
          <w:sz w:val="20"/>
          <w:szCs w:val="20"/>
        </w:rPr>
        <w:t xml:space="preserve">Lustration and Transitional Justice: Personnel Systems in the Czech Republic, Hungary, and Poland </w:t>
      </w:r>
      <w:r w:rsidRPr="007564E8">
        <w:rPr>
          <w:rFonts w:ascii="Times New Roman" w:hAnsi="Times New Roman" w:cs="Times New Roman"/>
          <w:sz w:val="20"/>
          <w:szCs w:val="20"/>
        </w:rPr>
        <w:t>(Philadelphia</w:t>
      </w:r>
      <w:r w:rsidR="00C47B21">
        <w:rPr>
          <w:rFonts w:ascii="Times New Roman" w:hAnsi="Times New Roman" w:cs="Times New Roman"/>
          <w:sz w:val="20"/>
          <w:szCs w:val="20"/>
        </w:rPr>
        <w:t>:</w:t>
      </w:r>
      <w:r w:rsidRPr="007564E8">
        <w:rPr>
          <w:rFonts w:ascii="Times New Roman" w:hAnsi="Times New Roman" w:cs="Times New Roman"/>
          <w:sz w:val="20"/>
          <w:szCs w:val="20"/>
        </w:rPr>
        <w:t xml:space="preserve"> University of Pennsylvania Press, 2011); Brian </w:t>
      </w:r>
      <w:proofErr w:type="spellStart"/>
      <w:r w:rsidRPr="007564E8">
        <w:rPr>
          <w:rFonts w:ascii="Times New Roman" w:hAnsi="Times New Roman" w:cs="Times New Roman"/>
          <w:sz w:val="20"/>
          <w:szCs w:val="20"/>
        </w:rPr>
        <w:t>Grodsky</w:t>
      </w:r>
      <w:proofErr w:type="spellEnd"/>
      <w:r w:rsidRPr="007564E8">
        <w:rPr>
          <w:rFonts w:ascii="Times New Roman" w:hAnsi="Times New Roman" w:cs="Times New Roman"/>
          <w:sz w:val="20"/>
          <w:szCs w:val="20"/>
        </w:rPr>
        <w:t xml:space="preserve">. </w:t>
      </w:r>
      <w:r w:rsidRPr="007564E8">
        <w:rPr>
          <w:rFonts w:ascii="Times New Roman" w:hAnsi="Times New Roman" w:cs="Times New Roman"/>
          <w:i/>
          <w:sz w:val="20"/>
          <w:szCs w:val="20"/>
        </w:rPr>
        <w:t>The Costs of Justice: How New Leaders Respond to Previous Rights Abuses</w:t>
      </w:r>
      <w:r w:rsidRPr="007564E8">
        <w:rPr>
          <w:rFonts w:ascii="Times New Roman" w:hAnsi="Times New Roman" w:cs="Times New Roman"/>
          <w:sz w:val="20"/>
          <w:szCs w:val="20"/>
        </w:rPr>
        <w:t xml:space="preserve"> (Notre Dame, Indiana: University of Notre Dame Press, 2010); Monika </w:t>
      </w:r>
      <w:proofErr w:type="spellStart"/>
      <w:r w:rsidRPr="007564E8">
        <w:rPr>
          <w:rFonts w:ascii="Times New Roman" w:hAnsi="Times New Roman" w:cs="Times New Roman"/>
          <w:sz w:val="20"/>
          <w:szCs w:val="20"/>
        </w:rPr>
        <w:t>Nalepa</w:t>
      </w:r>
      <w:proofErr w:type="spellEnd"/>
      <w:r w:rsidRPr="007564E8">
        <w:rPr>
          <w:rFonts w:ascii="Times New Roman" w:hAnsi="Times New Roman" w:cs="Times New Roman"/>
          <w:sz w:val="20"/>
          <w:szCs w:val="20"/>
        </w:rPr>
        <w:t xml:space="preserve">. </w:t>
      </w:r>
      <w:r w:rsidRPr="007564E8">
        <w:rPr>
          <w:rFonts w:ascii="Times New Roman" w:hAnsi="Times New Roman" w:cs="Times New Roman"/>
          <w:i/>
          <w:sz w:val="20"/>
          <w:szCs w:val="20"/>
        </w:rPr>
        <w:t xml:space="preserve">Skeletons in the Closet: Transitional Justice in Post-Communist Europe </w:t>
      </w:r>
      <w:r w:rsidRPr="007564E8">
        <w:rPr>
          <w:rFonts w:ascii="Times New Roman" w:hAnsi="Times New Roman" w:cs="Times New Roman"/>
          <w:sz w:val="20"/>
          <w:szCs w:val="20"/>
        </w:rPr>
        <w:t>(New York:</w:t>
      </w:r>
      <w:r w:rsidRPr="007564E8">
        <w:rPr>
          <w:rFonts w:ascii="Times New Roman" w:hAnsi="Times New Roman" w:cs="Times New Roman"/>
          <w:i/>
          <w:sz w:val="20"/>
          <w:szCs w:val="20"/>
        </w:rPr>
        <w:t xml:space="preserve"> </w:t>
      </w:r>
      <w:r w:rsidRPr="007564E8">
        <w:rPr>
          <w:rFonts w:ascii="Times New Roman" w:hAnsi="Times New Roman" w:cs="Times New Roman"/>
          <w:sz w:val="20"/>
          <w:szCs w:val="20"/>
        </w:rPr>
        <w:t>Cambridge University</w:t>
      </w:r>
      <w:r w:rsidR="00A17E80">
        <w:rPr>
          <w:rFonts w:ascii="Times New Roman" w:hAnsi="Times New Roman" w:cs="Times New Roman"/>
          <w:sz w:val="20"/>
          <w:szCs w:val="20"/>
        </w:rPr>
        <w:t xml:space="preserve"> Press, 2010); and </w:t>
      </w:r>
      <w:proofErr w:type="spellStart"/>
      <w:r w:rsidR="00A17E80">
        <w:rPr>
          <w:rFonts w:ascii="Times New Roman" w:hAnsi="Times New Roman" w:cs="Times New Roman"/>
          <w:sz w:val="20"/>
          <w:szCs w:val="20"/>
        </w:rPr>
        <w:t>Lavinia</w:t>
      </w:r>
      <w:proofErr w:type="spellEnd"/>
      <w:r w:rsidR="00A17E80">
        <w:rPr>
          <w:rFonts w:ascii="Times New Roman" w:hAnsi="Times New Roman" w:cs="Times New Roman"/>
          <w:sz w:val="20"/>
          <w:szCs w:val="20"/>
        </w:rPr>
        <w:t xml:space="preserve"> Stan,</w:t>
      </w:r>
      <w:r w:rsidRPr="007564E8">
        <w:rPr>
          <w:rFonts w:ascii="Times New Roman" w:hAnsi="Times New Roman" w:cs="Times New Roman"/>
          <w:sz w:val="20"/>
          <w:szCs w:val="20"/>
        </w:rPr>
        <w:t xml:space="preserve"> </w:t>
      </w:r>
      <w:r w:rsidRPr="007564E8">
        <w:rPr>
          <w:rFonts w:ascii="Times New Roman" w:hAnsi="Times New Roman" w:cs="Times New Roman"/>
          <w:i/>
          <w:sz w:val="20"/>
          <w:szCs w:val="20"/>
        </w:rPr>
        <w:t xml:space="preserve">Transitional Justice in Post-Communist Romania: The Politics of Memory </w:t>
      </w:r>
      <w:r w:rsidRPr="007564E8">
        <w:rPr>
          <w:rFonts w:ascii="Times New Roman" w:hAnsi="Times New Roman" w:cs="Times New Roman"/>
          <w:sz w:val="20"/>
          <w:szCs w:val="20"/>
        </w:rPr>
        <w:t>(</w:t>
      </w:r>
      <w:r w:rsidR="00C47B21">
        <w:rPr>
          <w:rFonts w:ascii="Times New Roman" w:hAnsi="Times New Roman" w:cs="Times New Roman"/>
          <w:sz w:val="20"/>
          <w:szCs w:val="20"/>
        </w:rPr>
        <w:t>New York</w:t>
      </w:r>
      <w:r w:rsidRPr="007564E8">
        <w:rPr>
          <w:rFonts w:ascii="Times New Roman" w:hAnsi="Times New Roman" w:cs="Times New Roman"/>
          <w:sz w:val="20"/>
          <w:szCs w:val="20"/>
        </w:rPr>
        <w:t xml:space="preserve">: Cambridge University Press, 2012). A notable edited volume on regional memory politics is </w:t>
      </w:r>
      <w:r w:rsidRPr="00A17E80">
        <w:rPr>
          <w:rFonts w:ascii="Times New Roman" w:hAnsi="Times New Roman" w:cs="Times New Roman"/>
          <w:sz w:val="20"/>
          <w:szCs w:val="20"/>
        </w:rPr>
        <w:t>Michael Bernhard</w:t>
      </w:r>
      <w:r w:rsidRPr="007564E8">
        <w:rPr>
          <w:rStyle w:val="apple-converted-space"/>
          <w:rFonts w:ascii="Times New Roman" w:hAnsi="Times New Roman" w:cs="Times New Roman"/>
          <w:sz w:val="20"/>
          <w:szCs w:val="20"/>
        </w:rPr>
        <w:t> </w:t>
      </w:r>
      <w:r w:rsidRPr="007564E8">
        <w:rPr>
          <w:rStyle w:val="a-color-secondary"/>
          <w:rFonts w:ascii="Times New Roman" w:hAnsi="Times New Roman" w:cs="Times New Roman"/>
          <w:sz w:val="20"/>
          <w:szCs w:val="20"/>
        </w:rPr>
        <w:t>and</w:t>
      </w:r>
      <w:r w:rsidRPr="007564E8">
        <w:rPr>
          <w:rStyle w:val="apple-converted-space"/>
          <w:rFonts w:ascii="Times New Roman" w:hAnsi="Times New Roman" w:cs="Times New Roman"/>
          <w:sz w:val="20"/>
          <w:szCs w:val="20"/>
        </w:rPr>
        <w:t> </w:t>
      </w:r>
      <w:r w:rsidRPr="00A17E80">
        <w:rPr>
          <w:rFonts w:ascii="Times New Roman" w:hAnsi="Times New Roman" w:cs="Times New Roman"/>
          <w:sz w:val="20"/>
          <w:szCs w:val="20"/>
        </w:rPr>
        <w:t xml:space="preserve">Jan </w:t>
      </w:r>
      <w:proofErr w:type="spellStart"/>
      <w:r w:rsidRPr="00A17E80">
        <w:rPr>
          <w:rFonts w:ascii="Times New Roman" w:hAnsi="Times New Roman" w:cs="Times New Roman"/>
          <w:sz w:val="20"/>
          <w:szCs w:val="20"/>
        </w:rPr>
        <w:t>Kubik</w:t>
      </w:r>
      <w:proofErr w:type="spellEnd"/>
      <w:r w:rsidR="00C47B21">
        <w:rPr>
          <w:rStyle w:val="a-declarative"/>
          <w:rFonts w:ascii="Times New Roman" w:hAnsi="Times New Roman" w:cs="Times New Roman"/>
          <w:sz w:val="20"/>
          <w:szCs w:val="20"/>
        </w:rPr>
        <w:t xml:space="preserve">, </w:t>
      </w:r>
      <w:r w:rsidRPr="007564E8">
        <w:rPr>
          <w:rStyle w:val="a-declarative"/>
          <w:rFonts w:ascii="Times New Roman" w:hAnsi="Times New Roman" w:cs="Times New Roman"/>
          <w:sz w:val="20"/>
          <w:szCs w:val="20"/>
        </w:rPr>
        <w:t>eds.</w:t>
      </w:r>
      <w:r w:rsidR="00C47B21">
        <w:rPr>
          <w:rStyle w:val="a-declarative"/>
          <w:rFonts w:ascii="Times New Roman" w:hAnsi="Times New Roman" w:cs="Times New Roman"/>
          <w:sz w:val="20"/>
          <w:szCs w:val="20"/>
        </w:rPr>
        <w:t>,</w:t>
      </w:r>
      <w:r w:rsidRPr="007564E8">
        <w:rPr>
          <w:rStyle w:val="a-declarative"/>
          <w:rFonts w:ascii="Times New Roman" w:hAnsi="Times New Roman" w:cs="Times New Roman"/>
          <w:sz w:val="20"/>
          <w:szCs w:val="20"/>
        </w:rPr>
        <w:t xml:space="preserve"> </w:t>
      </w:r>
      <w:r w:rsidRPr="007564E8">
        <w:rPr>
          <w:rStyle w:val="a-size-extra-large"/>
          <w:rFonts w:ascii="Times New Roman" w:hAnsi="Times New Roman" w:cs="Times New Roman"/>
          <w:i/>
          <w:sz w:val="20"/>
          <w:szCs w:val="20"/>
        </w:rPr>
        <w:t xml:space="preserve">Twenty Years </w:t>
      </w:r>
      <w:proofErr w:type="gramStart"/>
      <w:r w:rsidRPr="007564E8">
        <w:rPr>
          <w:rStyle w:val="a-size-extra-large"/>
          <w:rFonts w:ascii="Times New Roman" w:hAnsi="Times New Roman" w:cs="Times New Roman"/>
          <w:i/>
          <w:sz w:val="20"/>
          <w:szCs w:val="20"/>
        </w:rPr>
        <w:t>After Communism: The</w:t>
      </w:r>
      <w:proofErr w:type="gramEnd"/>
      <w:r w:rsidRPr="007564E8">
        <w:rPr>
          <w:rStyle w:val="a-size-extra-large"/>
          <w:rFonts w:ascii="Times New Roman" w:hAnsi="Times New Roman" w:cs="Times New Roman"/>
          <w:i/>
          <w:sz w:val="20"/>
          <w:szCs w:val="20"/>
        </w:rPr>
        <w:t xml:space="preserve"> Politics of Memory and Commemoration</w:t>
      </w:r>
      <w:r w:rsidRPr="007564E8">
        <w:rPr>
          <w:rStyle w:val="a-size-large"/>
          <w:rFonts w:ascii="Times New Roman" w:hAnsi="Times New Roman" w:cs="Times New Roman"/>
          <w:sz w:val="20"/>
          <w:szCs w:val="20"/>
        </w:rPr>
        <w:t xml:space="preserve"> (Oxford: Oxford University Press, 2014).</w:t>
      </w:r>
    </w:p>
  </w:endnote>
  <w:endnote w:id="2">
    <w:p w:rsidR="003A7732" w:rsidRPr="007564E8" w:rsidRDefault="003A7732" w:rsidP="003A7732">
      <w:pPr>
        <w:spacing w:after="0" w:line="480" w:lineRule="auto"/>
        <w:rPr>
          <w:rFonts w:ascii="Times New Roman" w:hAnsi="Times New Roman" w:cs="Times New Roman"/>
          <w:sz w:val="20"/>
          <w:szCs w:val="20"/>
        </w:rPr>
      </w:pPr>
      <w:r w:rsidRPr="007564E8">
        <w:rPr>
          <w:rStyle w:val="EndnoteReference"/>
          <w:rFonts w:ascii="Times New Roman" w:hAnsi="Times New Roman" w:cs="Times New Roman"/>
          <w:sz w:val="20"/>
          <w:szCs w:val="20"/>
        </w:rPr>
        <w:endnoteRef/>
      </w:r>
      <w:r w:rsidRPr="007564E8">
        <w:rPr>
          <w:rFonts w:ascii="Times New Roman" w:hAnsi="Times New Roman" w:cs="Times New Roman"/>
          <w:sz w:val="20"/>
          <w:szCs w:val="20"/>
        </w:rPr>
        <w:t xml:space="preserve"> This includes the aforementioned monographs by David (2011), </w:t>
      </w:r>
      <w:proofErr w:type="spellStart"/>
      <w:r w:rsidRPr="007564E8">
        <w:rPr>
          <w:rFonts w:ascii="Times New Roman" w:hAnsi="Times New Roman" w:cs="Times New Roman"/>
          <w:sz w:val="20"/>
          <w:szCs w:val="20"/>
        </w:rPr>
        <w:t>Nalepa</w:t>
      </w:r>
      <w:proofErr w:type="spellEnd"/>
      <w:r w:rsidRPr="007564E8">
        <w:rPr>
          <w:rFonts w:ascii="Times New Roman" w:hAnsi="Times New Roman" w:cs="Times New Roman"/>
          <w:sz w:val="20"/>
          <w:szCs w:val="20"/>
        </w:rPr>
        <w:t xml:space="preserve"> (2010) and Stan (2012), as well as foundational pieces in the field of post-communist transitional justice such as John Moran, “The Communist Tortures of Eastern Europe: Prosecute and Punish or Forgive and Forget?</w:t>
      </w:r>
      <w:r w:rsidR="00C47B21">
        <w:rPr>
          <w:rFonts w:ascii="Times New Roman" w:hAnsi="Times New Roman" w:cs="Times New Roman"/>
          <w:sz w:val="20"/>
          <w:szCs w:val="20"/>
        </w:rPr>
        <w:t>,</w:t>
      </w:r>
      <w:r w:rsidRPr="007564E8">
        <w:rPr>
          <w:rFonts w:ascii="Times New Roman" w:hAnsi="Times New Roman" w:cs="Times New Roman"/>
          <w:sz w:val="20"/>
          <w:szCs w:val="20"/>
        </w:rPr>
        <w:t xml:space="preserve">” </w:t>
      </w:r>
      <w:r w:rsidRPr="007564E8">
        <w:rPr>
          <w:rFonts w:ascii="Times New Roman" w:hAnsi="Times New Roman" w:cs="Times New Roman"/>
          <w:i/>
          <w:sz w:val="20"/>
          <w:szCs w:val="20"/>
        </w:rPr>
        <w:t xml:space="preserve">Communist and Post-Communist Studies </w:t>
      </w:r>
      <w:r w:rsidRPr="007564E8">
        <w:rPr>
          <w:rFonts w:ascii="Times New Roman" w:hAnsi="Times New Roman" w:cs="Times New Roman"/>
          <w:sz w:val="20"/>
          <w:szCs w:val="20"/>
        </w:rPr>
        <w:t xml:space="preserve">27, 1 (1994): 95-109; Helga Welsh, “Dealing with the Communist Past: Central and East European Experiences after 1990,” </w:t>
      </w:r>
      <w:r w:rsidRPr="007564E8">
        <w:rPr>
          <w:rFonts w:ascii="Times New Roman" w:hAnsi="Times New Roman" w:cs="Times New Roman"/>
          <w:i/>
          <w:color w:val="000000"/>
          <w:sz w:val="20"/>
          <w:szCs w:val="20"/>
        </w:rPr>
        <w:t>Europe-Asia Studies</w:t>
      </w:r>
      <w:r w:rsidRPr="007564E8">
        <w:rPr>
          <w:rFonts w:ascii="Times New Roman" w:hAnsi="Times New Roman" w:cs="Times New Roman"/>
          <w:color w:val="000000"/>
          <w:sz w:val="20"/>
          <w:szCs w:val="20"/>
        </w:rPr>
        <w:t xml:space="preserve"> 48, 3 (1996): 413-429; </w:t>
      </w:r>
      <w:r w:rsidR="00F4692A">
        <w:rPr>
          <w:rFonts w:ascii="Times New Roman" w:hAnsi="Times New Roman" w:cs="Times New Roman"/>
          <w:color w:val="000000"/>
          <w:sz w:val="20"/>
          <w:szCs w:val="20"/>
        </w:rPr>
        <w:t xml:space="preserve">and </w:t>
      </w:r>
      <w:proofErr w:type="spellStart"/>
      <w:r w:rsidRPr="007564E8">
        <w:rPr>
          <w:rFonts w:ascii="Times New Roman" w:hAnsi="Times New Roman" w:cs="Times New Roman"/>
          <w:sz w:val="20"/>
          <w:szCs w:val="20"/>
        </w:rPr>
        <w:t>Nadya</w:t>
      </w:r>
      <w:proofErr w:type="spellEnd"/>
      <w:r w:rsidRPr="007564E8">
        <w:rPr>
          <w:rFonts w:ascii="Times New Roman" w:hAnsi="Times New Roman" w:cs="Times New Roman"/>
          <w:sz w:val="20"/>
          <w:szCs w:val="20"/>
        </w:rPr>
        <w:t xml:space="preserve"> </w:t>
      </w:r>
      <w:proofErr w:type="spellStart"/>
      <w:r w:rsidRPr="007564E8">
        <w:rPr>
          <w:rFonts w:ascii="Times New Roman" w:hAnsi="Times New Roman" w:cs="Times New Roman"/>
          <w:sz w:val="20"/>
          <w:szCs w:val="20"/>
        </w:rPr>
        <w:t>Nedelsky</w:t>
      </w:r>
      <w:proofErr w:type="spellEnd"/>
      <w:r w:rsidRPr="007564E8">
        <w:rPr>
          <w:rFonts w:ascii="Times New Roman" w:hAnsi="Times New Roman" w:cs="Times New Roman"/>
          <w:sz w:val="20"/>
          <w:szCs w:val="20"/>
        </w:rPr>
        <w:t xml:space="preserve">, “Divergent </w:t>
      </w:r>
      <w:r w:rsidR="00C47B21">
        <w:rPr>
          <w:rFonts w:ascii="Times New Roman" w:hAnsi="Times New Roman" w:cs="Times New Roman"/>
          <w:sz w:val="20"/>
          <w:szCs w:val="20"/>
        </w:rPr>
        <w:t>R</w:t>
      </w:r>
      <w:r w:rsidRPr="007564E8">
        <w:rPr>
          <w:rFonts w:ascii="Times New Roman" w:hAnsi="Times New Roman" w:cs="Times New Roman"/>
          <w:sz w:val="20"/>
          <w:szCs w:val="20"/>
        </w:rPr>
        <w:t xml:space="preserve">esponses to a </w:t>
      </w:r>
      <w:r w:rsidR="00C47B21">
        <w:rPr>
          <w:rFonts w:ascii="Times New Roman" w:hAnsi="Times New Roman" w:cs="Times New Roman"/>
          <w:sz w:val="20"/>
          <w:szCs w:val="20"/>
        </w:rPr>
        <w:t>C</w:t>
      </w:r>
      <w:r w:rsidRPr="007564E8">
        <w:rPr>
          <w:rFonts w:ascii="Times New Roman" w:hAnsi="Times New Roman" w:cs="Times New Roman"/>
          <w:sz w:val="20"/>
          <w:szCs w:val="20"/>
        </w:rPr>
        <w:t xml:space="preserve">ommon </w:t>
      </w:r>
      <w:r w:rsidR="00C47B21">
        <w:rPr>
          <w:rFonts w:ascii="Times New Roman" w:hAnsi="Times New Roman" w:cs="Times New Roman"/>
          <w:sz w:val="20"/>
          <w:szCs w:val="20"/>
        </w:rPr>
        <w:t>P</w:t>
      </w:r>
      <w:r w:rsidRPr="007564E8">
        <w:rPr>
          <w:rFonts w:ascii="Times New Roman" w:hAnsi="Times New Roman" w:cs="Times New Roman"/>
          <w:sz w:val="20"/>
          <w:szCs w:val="20"/>
        </w:rPr>
        <w:t xml:space="preserve">ast: Transitional </w:t>
      </w:r>
      <w:r w:rsidR="00C47B21">
        <w:rPr>
          <w:rFonts w:ascii="Times New Roman" w:hAnsi="Times New Roman" w:cs="Times New Roman"/>
          <w:sz w:val="20"/>
          <w:szCs w:val="20"/>
        </w:rPr>
        <w:t>J</w:t>
      </w:r>
      <w:r w:rsidRPr="007564E8">
        <w:rPr>
          <w:rFonts w:ascii="Times New Roman" w:hAnsi="Times New Roman" w:cs="Times New Roman"/>
          <w:sz w:val="20"/>
          <w:szCs w:val="20"/>
        </w:rPr>
        <w:t xml:space="preserve">ustice in the Czech Republic and Slovakia,” </w:t>
      </w:r>
      <w:r w:rsidRPr="007564E8">
        <w:rPr>
          <w:rFonts w:ascii="Times New Roman" w:hAnsi="Times New Roman" w:cs="Times New Roman"/>
          <w:i/>
          <w:sz w:val="20"/>
          <w:szCs w:val="20"/>
        </w:rPr>
        <w:t>Theory and Society</w:t>
      </w:r>
      <w:r w:rsidRPr="007564E8">
        <w:rPr>
          <w:rFonts w:ascii="Times New Roman" w:hAnsi="Times New Roman" w:cs="Times New Roman"/>
          <w:sz w:val="20"/>
          <w:szCs w:val="20"/>
        </w:rPr>
        <w:t xml:space="preserve"> 33 (2004):65-115.  </w:t>
      </w:r>
    </w:p>
  </w:endnote>
  <w:endnote w:id="3">
    <w:p w:rsidR="003A7732" w:rsidRPr="007564E8" w:rsidRDefault="003A7732" w:rsidP="003A7732">
      <w:pPr>
        <w:autoSpaceDE w:val="0"/>
        <w:autoSpaceDN w:val="0"/>
        <w:adjustRightInd w:val="0"/>
        <w:spacing w:after="0" w:line="480" w:lineRule="auto"/>
        <w:rPr>
          <w:rFonts w:ascii="Times New Roman" w:hAnsi="Times New Roman" w:cs="Times New Roman"/>
          <w:sz w:val="20"/>
          <w:szCs w:val="20"/>
        </w:rPr>
      </w:pPr>
      <w:r w:rsidRPr="007564E8">
        <w:rPr>
          <w:rStyle w:val="EndnoteReference"/>
          <w:rFonts w:ascii="Times New Roman" w:hAnsi="Times New Roman" w:cs="Times New Roman"/>
          <w:sz w:val="20"/>
          <w:szCs w:val="20"/>
        </w:rPr>
        <w:endnoteRef/>
      </w:r>
      <w:r w:rsidRPr="007564E8">
        <w:rPr>
          <w:rFonts w:ascii="Times New Roman" w:hAnsi="Times New Roman" w:cs="Times New Roman"/>
          <w:sz w:val="20"/>
          <w:szCs w:val="20"/>
        </w:rPr>
        <w:t xml:space="preserve"> Oskar </w:t>
      </w:r>
      <w:proofErr w:type="spellStart"/>
      <w:r w:rsidRPr="007564E8">
        <w:rPr>
          <w:rFonts w:ascii="Times New Roman" w:hAnsi="Times New Roman" w:cs="Times New Roman"/>
          <w:sz w:val="20"/>
          <w:szCs w:val="20"/>
        </w:rPr>
        <w:t>Thoms</w:t>
      </w:r>
      <w:proofErr w:type="spellEnd"/>
      <w:r w:rsidRPr="007564E8">
        <w:rPr>
          <w:rFonts w:ascii="Times New Roman" w:hAnsi="Times New Roman" w:cs="Times New Roman"/>
          <w:sz w:val="20"/>
          <w:szCs w:val="20"/>
        </w:rPr>
        <w:t>, James Ron and Roland Paris</w:t>
      </w:r>
      <w:r w:rsidR="00C47B21">
        <w:rPr>
          <w:rFonts w:ascii="Times New Roman" w:hAnsi="Times New Roman" w:cs="Times New Roman"/>
          <w:sz w:val="20"/>
          <w:szCs w:val="20"/>
        </w:rPr>
        <w:t xml:space="preserve">, </w:t>
      </w:r>
      <w:proofErr w:type="gramStart"/>
      <w:r w:rsidRPr="007564E8">
        <w:rPr>
          <w:rFonts w:ascii="Times New Roman" w:hAnsi="Times New Roman" w:cs="Times New Roman"/>
          <w:i/>
          <w:sz w:val="20"/>
          <w:szCs w:val="20"/>
        </w:rPr>
        <w:t>The</w:t>
      </w:r>
      <w:proofErr w:type="gramEnd"/>
      <w:r w:rsidRPr="007564E8">
        <w:rPr>
          <w:rFonts w:ascii="Times New Roman" w:hAnsi="Times New Roman" w:cs="Times New Roman"/>
          <w:i/>
          <w:sz w:val="20"/>
          <w:szCs w:val="20"/>
        </w:rPr>
        <w:t xml:space="preserve"> Effects of Transitional Justice Mechanisms: A Summary of Empirical Research Findings and Implications for Analysts and Practitioners </w:t>
      </w:r>
      <w:r w:rsidRPr="007564E8">
        <w:rPr>
          <w:rFonts w:ascii="Times New Roman" w:hAnsi="Times New Roman" w:cs="Times New Roman"/>
          <w:sz w:val="20"/>
          <w:szCs w:val="20"/>
        </w:rPr>
        <w:t xml:space="preserve">(Ottawa: Centre for International Policy Studies, 2008). </w:t>
      </w:r>
    </w:p>
  </w:endnote>
  <w:endnote w:id="4">
    <w:p w:rsidR="003A7732" w:rsidRPr="007564E8" w:rsidRDefault="003A7732" w:rsidP="003A7732">
      <w:pPr>
        <w:pStyle w:val="EndnoteText"/>
        <w:spacing w:line="480" w:lineRule="auto"/>
        <w:rPr>
          <w:rFonts w:ascii="Times New Roman" w:hAnsi="Times New Roman" w:cs="Times New Roman"/>
        </w:rPr>
      </w:pPr>
      <w:r w:rsidRPr="007564E8">
        <w:rPr>
          <w:rStyle w:val="EndnoteReference"/>
          <w:rFonts w:ascii="Times New Roman" w:hAnsi="Times New Roman" w:cs="Times New Roman"/>
        </w:rPr>
        <w:endnoteRef/>
      </w:r>
      <w:r w:rsidRPr="007564E8">
        <w:rPr>
          <w:rFonts w:ascii="Times New Roman" w:hAnsi="Times New Roman" w:cs="Times New Roman"/>
        </w:rPr>
        <w:t xml:space="preserve"> Tricia Olsen, Leigh Payne and Andrew Reiter</w:t>
      </w:r>
      <w:r w:rsidR="00C47B21">
        <w:rPr>
          <w:rFonts w:ascii="Times New Roman" w:hAnsi="Times New Roman" w:cs="Times New Roman"/>
        </w:rPr>
        <w:t>,</w:t>
      </w:r>
      <w:r w:rsidRPr="007564E8">
        <w:rPr>
          <w:rFonts w:ascii="Times New Roman" w:hAnsi="Times New Roman" w:cs="Times New Roman"/>
        </w:rPr>
        <w:t xml:space="preserve"> </w:t>
      </w:r>
      <w:r w:rsidRPr="007564E8">
        <w:rPr>
          <w:rFonts w:ascii="Times New Roman" w:hAnsi="Times New Roman" w:cs="Times New Roman"/>
          <w:i/>
        </w:rPr>
        <w:t>Transitional Justice in Balance: Comparing Processes, Weighing Efficacy</w:t>
      </w:r>
      <w:r w:rsidRPr="007564E8">
        <w:rPr>
          <w:rFonts w:ascii="Times New Roman" w:hAnsi="Times New Roman" w:cs="Times New Roman"/>
        </w:rPr>
        <w:t xml:space="preserve"> (Washington, D.C.: United States Institute of Peace Press, 2010).</w:t>
      </w:r>
    </w:p>
  </w:endnote>
  <w:endnote w:id="5">
    <w:p w:rsidR="00B52350" w:rsidRPr="0029277E" w:rsidRDefault="00B52350" w:rsidP="00B52350">
      <w:pPr>
        <w:spacing w:after="0" w:line="480" w:lineRule="auto"/>
        <w:rPr>
          <w:rFonts w:ascii="Times New Roman" w:eastAsia="Calibri" w:hAnsi="Times New Roman" w:cs="Times New Roman"/>
          <w:sz w:val="20"/>
          <w:szCs w:val="20"/>
        </w:rPr>
      </w:pPr>
      <w:r w:rsidRPr="007564E8">
        <w:rPr>
          <w:rStyle w:val="EndnoteReference"/>
          <w:rFonts w:ascii="Times New Roman" w:hAnsi="Times New Roman" w:cs="Times New Roman"/>
          <w:sz w:val="20"/>
          <w:szCs w:val="20"/>
        </w:rPr>
        <w:endnoteRef/>
      </w:r>
      <w:r w:rsidR="00F4692A">
        <w:rPr>
          <w:rFonts w:ascii="Times New Roman" w:hAnsi="Times New Roman" w:cs="Times New Roman"/>
          <w:sz w:val="20"/>
          <w:szCs w:val="20"/>
        </w:rPr>
        <w:t xml:space="preserve"> F</w:t>
      </w:r>
      <w:r w:rsidRPr="007564E8">
        <w:rPr>
          <w:rFonts w:ascii="Times New Roman" w:hAnsi="Times New Roman" w:cs="Times New Roman"/>
          <w:sz w:val="20"/>
          <w:szCs w:val="20"/>
        </w:rPr>
        <w:t>or example</w:t>
      </w:r>
      <w:r w:rsidR="00C47B21">
        <w:rPr>
          <w:rFonts w:ascii="Times New Roman" w:hAnsi="Times New Roman" w:cs="Times New Roman"/>
          <w:sz w:val="20"/>
          <w:szCs w:val="20"/>
        </w:rPr>
        <w:t>,</w:t>
      </w:r>
      <w:r w:rsidRPr="007564E8">
        <w:rPr>
          <w:rFonts w:ascii="Times New Roman" w:hAnsi="Times New Roman" w:cs="Times New Roman"/>
          <w:sz w:val="20"/>
          <w:szCs w:val="20"/>
        </w:rPr>
        <w:t xml:space="preserve"> Cynthia M. Horne, “Late Lustration Programs in Romania and Poland: Supporting or Undermining Democratic Transitions?</w:t>
      </w:r>
      <w:r w:rsidR="00B46D9A">
        <w:rPr>
          <w:rFonts w:ascii="Times New Roman" w:hAnsi="Times New Roman" w:cs="Times New Roman"/>
          <w:sz w:val="20"/>
          <w:szCs w:val="20"/>
        </w:rPr>
        <w:t>,</w:t>
      </w:r>
      <w:r w:rsidRPr="007564E8">
        <w:rPr>
          <w:rFonts w:ascii="Times New Roman" w:hAnsi="Times New Roman" w:cs="Times New Roman"/>
          <w:sz w:val="20"/>
          <w:szCs w:val="20"/>
        </w:rPr>
        <w:t xml:space="preserve">” </w:t>
      </w:r>
      <w:r w:rsidRPr="007564E8">
        <w:rPr>
          <w:rFonts w:ascii="Times New Roman" w:hAnsi="Times New Roman" w:cs="Times New Roman"/>
          <w:i/>
          <w:sz w:val="20"/>
          <w:szCs w:val="20"/>
        </w:rPr>
        <w:t xml:space="preserve">Democratization </w:t>
      </w:r>
      <w:r w:rsidRPr="007564E8">
        <w:rPr>
          <w:rFonts w:ascii="Times New Roman" w:hAnsi="Times New Roman" w:cs="Times New Roman"/>
          <w:sz w:val="20"/>
          <w:szCs w:val="20"/>
        </w:rPr>
        <w:t>16, 2 (2009):</w:t>
      </w:r>
      <w:r w:rsidR="00526647">
        <w:rPr>
          <w:rFonts w:ascii="Times New Roman" w:hAnsi="Times New Roman" w:cs="Times New Roman"/>
          <w:sz w:val="20"/>
          <w:szCs w:val="20"/>
        </w:rPr>
        <w:t xml:space="preserve"> </w:t>
      </w:r>
      <w:r w:rsidRPr="007564E8">
        <w:rPr>
          <w:rFonts w:ascii="Times New Roman" w:hAnsi="Times New Roman" w:cs="Times New Roman"/>
          <w:sz w:val="20"/>
          <w:szCs w:val="20"/>
        </w:rPr>
        <w:t xml:space="preserve">344-376; </w:t>
      </w:r>
      <w:proofErr w:type="spellStart"/>
      <w:r w:rsidRPr="007564E8">
        <w:rPr>
          <w:rFonts w:ascii="Times New Roman" w:hAnsi="Times New Roman" w:cs="Times New Roman"/>
          <w:sz w:val="20"/>
          <w:szCs w:val="20"/>
        </w:rPr>
        <w:t>Lavinia</w:t>
      </w:r>
      <w:proofErr w:type="spellEnd"/>
      <w:r w:rsidRPr="007564E8">
        <w:rPr>
          <w:rFonts w:ascii="Times New Roman" w:hAnsi="Times New Roman" w:cs="Times New Roman"/>
          <w:sz w:val="20"/>
          <w:szCs w:val="20"/>
        </w:rPr>
        <w:t xml:space="preserve"> Stan</w:t>
      </w:r>
      <w:r w:rsidRPr="007564E8">
        <w:rPr>
          <w:rFonts w:ascii="Times New Roman" w:eastAsia="Calibri" w:hAnsi="Times New Roman" w:cs="Times New Roman"/>
          <w:sz w:val="20"/>
          <w:szCs w:val="20"/>
        </w:rPr>
        <w:t xml:space="preserve">, “The Romanian Anticorruption Bill,” </w:t>
      </w:r>
      <w:r w:rsidRPr="007564E8">
        <w:rPr>
          <w:rFonts w:ascii="Times New Roman" w:eastAsia="Calibri" w:hAnsi="Times New Roman" w:cs="Times New Roman"/>
          <w:i/>
          <w:sz w:val="20"/>
          <w:szCs w:val="20"/>
        </w:rPr>
        <w:t>Studies in Post-Communism</w:t>
      </w:r>
      <w:r w:rsidR="00B46D9A">
        <w:rPr>
          <w:rFonts w:ascii="Times New Roman" w:hAnsi="Times New Roman" w:cs="Times New Roman"/>
          <w:sz w:val="20"/>
          <w:szCs w:val="20"/>
        </w:rPr>
        <w:t xml:space="preserve"> </w:t>
      </w:r>
      <w:r w:rsidR="00B46D9A" w:rsidRPr="001911CB">
        <w:rPr>
          <w:rFonts w:ascii="Times New Roman" w:hAnsi="Times New Roman" w:cs="Times New Roman"/>
          <w:i/>
          <w:sz w:val="20"/>
          <w:szCs w:val="20"/>
        </w:rPr>
        <w:t>Occasional Paper</w:t>
      </w:r>
      <w:r w:rsidR="00B46D9A">
        <w:rPr>
          <w:rFonts w:ascii="Times New Roman" w:hAnsi="Times New Roman" w:cs="Times New Roman"/>
          <w:sz w:val="20"/>
          <w:szCs w:val="20"/>
        </w:rPr>
        <w:t>, N</w:t>
      </w:r>
      <w:r w:rsidR="00B46D9A" w:rsidRPr="007564E8">
        <w:rPr>
          <w:rFonts w:ascii="Times New Roman" w:hAnsi="Times New Roman" w:cs="Times New Roman"/>
          <w:sz w:val="20"/>
          <w:szCs w:val="20"/>
        </w:rPr>
        <w:t>o. 6</w:t>
      </w:r>
      <w:r w:rsidR="00241C3D">
        <w:rPr>
          <w:rFonts w:ascii="Times New Roman" w:hAnsi="Times New Roman" w:cs="Times New Roman"/>
          <w:sz w:val="20"/>
          <w:szCs w:val="20"/>
        </w:rPr>
        <w:t xml:space="preserve"> (2004)</w:t>
      </w:r>
      <w:r w:rsidR="003E2074">
        <w:rPr>
          <w:rFonts w:ascii="Times New Roman" w:hAnsi="Times New Roman" w:cs="Times New Roman"/>
          <w:sz w:val="20"/>
          <w:szCs w:val="20"/>
        </w:rPr>
        <w:t>,</w:t>
      </w:r>
      <w:r w:rsidR="00B46D9A" w:rsidRPr="007564E8">
        <w:rPr>
          <w:rFonts w:ascii="Times New Roman" w:hAnsi="Times New Roman" w:cs="Times New Roman"/>
          <w:sz w:val="20"/>
          <w:szCs w:val="20"/>
        </w:rPr>
        <w:t xml:space="preserve"> </w:t>
      </w:r>
      <w:r w:rsidRPr="007564E8">
        <w:rPr>
          <w:rFonts w:ascii="Times New Roman" w:eastAsia="Calibri" w:hAnsi="Times New Roman" w:cs="Times New Roman"/>
          <w:sz w:val="20"/>
          <w:szCs w:val="20"/>
        </w:rPr>
        <w:t xml:space="preserve">Centre for Post-Communist Studies, St. Francis Xavier University; and </w:t>
      </w:r>
      <w:proofErr w:type="spellStart"/>
      <w:r w:rsidRPr="007564E8">
        <w:rPr>
          <w:rFonts w:ascii="Times New Roman" w:eastAsia="Calibri" w:hAnsi="Times New Roman" w:cs="Times New Roman"/>
          <w:sz w:val="20"/>
          <w:szCs w:val="20"/>
        </w:rPr>
        <w:t>Lavinia</w:t>
      </w:r>
      <w:proofErr w:type="spellEnd"/>
      <w:r w:rsidRPr="007564E8">
        <w:rPr>
          <w:rFonts w:ascii="Times New Roman" w:eastAsia="Calibri" w:hAnsi="Times New Roman" w:cs="Times New Roman"/>
          <w:sz w:val="20"/>
          <w:szCs w:val="20"/>
        </w:rPr>
        <w:t xml:space="preserve"> Stan, </w:t>
      </w:r>
      <w:r w:rsidRPr="007564E8">
        <w:rPr>
          <w:rFonts w:ascii="Times New Roman" w:hAnsi="Times New Roman" w:cs="Times New Roman"/>
          <w:color w:val="000000"/>
          <w:sz w:val="20"/>
          <w:szCs w:val="20"/>
        </w:rPr>
        <w:t xml:space="preserve">“The Politics of Memory in Poland: Lustration, File Access and Court Proceedings,” </w:t>
      </w:r>
      <w:r w:rsidRPr="007564E8">
        <w:rPr>
          <w:rFonts w:ascii="Times New Roman" w:hAnsi="Times New Roman" w:cs="Times New Roman"/>
          <w:i/>
          <w:color w:val="000000"/>
          <w:sz w:val="20"/>
          <w:szCs w:val="20"/>
        </w:rPr>
        <w:t>Studies in Post-Communism Occasional Paper</w:t>
      </w:r>
      <w:r w:rsidR="003E2074">
        <w:rPr>
          <w:rFonts w:ascii="Times New Roman" w:hAnsi="Times New Roman" w:cs="Times New Roman"/>
          <w:color w:val="000000"/>
          <w:sz w:val="20"/>
          <w:szCs w:val="20"/>
        </w:rPr>
        <w:t>, No. 10</w:t>
      </w:r>
      <w:r w:rsidR="00241C3D">
        <w:rPr>
          <w:rFonts w:ascii="Times New Roman" w:hAnsi="Times New Roman" w:cs="Times New Roman"/>
          <w:color w:val="000000"/>
          <w:sz w:val="20"/>
          <w:szCs w:val="20"/>
        </w:rPr>
        <w:t xml:space="preserve"> (2006)</w:t>
      </w:r>
      <w:r w:rsidR="003E2074">
        <w:rPr>
          <w:rFonts w:ascii="Times New Roman" w:hAnsi="Times New Roman" w:cs="Times New Roman"/>
          <w:color w:val="000000"/>
          <w:sz w:val="20"/>
          <w:szCs w:val="20"/>
        </w:rPr>
        <w:t>,</w:t>
      </w:r>
      <w:r w:rsidRPr="007564E8">
        <w:rPr>
          <w:rFonts w:ascii="Times New Roman" w:hAnsi="Times New Roman" w:cs="Times New Roman"/>
          <w:color w:val="000000"/>
          <w:sz w:val="20"/>
          <w:szCs w:val="20"/>
        </w:rPr>
        <w:t xml:space="preserve"> Centre f</w:t>
      </w:r>
      <w:r w:rsidR="00241C3D">
        <w:rPr>
          <w:rFonts w:ascii="Times New Roman" w:hAnsi="Times New Roman" w:cs="Times New Roman"/>
          <w:color w:val="000000"/>
          <w:sz w:val="20"/>
          <w:szCs w:val="20"/>
        </w:rPr>
        <w:t>or Post-Communist Studies</w:t>
      </w:r>
      <w:r w:rsidR="00F4692A">
        <w:rPr>
          <w:rFonts w:ascii="Times New Roman" w:hAnsi="Times New Roman" w:cs="Times New Roman"/>
          <w:color w:val="000000"/>
          <w:sz w:val="20"/>
          <w:szCs w:val="20"/>
        </w:rPr>
        <w:t>,</w:t>
      </w:r>
      <w:r w:rsidR="00F4692A" w:rsidRPr="00F4692A">
        <w:rPr>
          <w:rFonts w:ascii="Times New Roman" w:hAnsi="Times New Roman" w:cs="Times New Roman"/>
          <w:color w:val="000000"/>
          <w:sz w:val="20"/>
          <w:szCs w:val="20"/>
        </w:rPr>
        <w:t xml:space="preserve"> </w:t>
      </w:r>
      <w:r w:rsidR="00F4692A" w:rsidRPr="007564E8">
        <w:rPr>
          <w:rFonts w:ascii="Times New Roman" w:hAnsi="Times New Roman" w:cs="Times New Roman"/>
          <w:color w:val="000000"/>
          <w:sz w:val="20"/>
          <w:szCs w:val="20"/>
        </w:rPr>
        <w:t>St. Francis Xavier University</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A8" w:rsidRDefault="00960E72" w:rsidP="00CC3C23">
    <w:pPr>
      <w:pStyle w:val="Footer"/>
      <w:framePr w:wrap="around" w:vAnchor="text" w:hAnchor="margin" w:xAlign="center" w:y="1"/>
      <w:rPr>
        <w:rStyle w:val="PageNumber"/>
      </w:rPr>
    </w:pPr>
    <w:r>
      <w:rPr>
        <w:rStyle w:val="PageNumber"/>
      </w:rPr>
      <w:fldChar w:fldCharType="begin"/>
    </w:r>
    <w:r w:rsidR="00D463A8">
      <w:rPr>
        <w:rStyle w:val="PageNumber"/>
      </w:rPr>
      <w:instrText xml:space="preserve">PAGE  </w:instrText>
    </w:r>
    <w:r>
      <w:rPr>
        <w:rStyle w:val="PageNumber"/>
      </w:rPr>
      <w:fldChar w:fldCharType="end"/>
    </w:r>
  </w:p>
  <w:p w:rsidR="00D463A8" w:rsidRDefault="00D463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A8" w:rsidRDefault="00960E72" w:rsidP="00CC3C23">
    <w:pPr>
      <w:pStyle w:val="Footer"/>
      <w:framePr w:wrap="around" w:vAnchor="text" w:hAnchor="margin" w:xAlign="center" w:y="1"/>
      <w:rPr>
        <w:rStyle w:val="PageNumber"/>
      </w:rPr>
    </w:pPr>
    <w:r>
      <w:rPr>
        <w:rStyle w:val="PageNumber"/>
      </w:rPr>
      <w:fldChar w:fldCharType="begin"/>
    </w:r>
    <w:r w:rsidR="00D463A8">
      <w:rPr>
        <w:rStyle w:val="PageNumber"/>
      </w:rPr>
      <w:instrText xml:space="preserve">PAGE  </w:instrText>
    </w:r>
    <w:r>
      <w:rPr>
        <w:rStyle w:val="PageNumber"/>
      </w:rPr>
      <w:fldChar w:fldCharType="separate"/>
    </w:r>
    <w:r w:rsidR="003B72CA">
      <w:rPr>
        <w:rStyle w:val="PageNumber"/>
        <w:noProof/>
      </w:rPr>
      <w:t>14</w:t>
    </w:r>
    <w:r>
      <w:rPr>
        <w:rStyle w:val="PageNumber"/>
      </w:rPr>
      <w:fldChar w:fldCharType="end"/>
    </w:r>
  </w:p>
  <w:p w:rsidR="00D463A8" w:rsidRDefault="00D463A8">
    <w:pPr>
      <w:pStyle w:val="Footer"/>
      <w:jc w:val="right"/>
    </w:pPr>
  </w:p>
  <w:p w:rsidR="00D463A8" w:rsidRDefault="00D46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70" w:rsidRDefault="00E97170" w:rsidP="00A566AA">
      <w:pPr>
        <w:spacing w:after="0" w:line="240" w:lineRule="auto"/>
      </w:pPr>
      <w:r>
        <w:separator/>
      </w:r>
    </w:p>
  </w:footnote>
  <w:footnote w:type="continuationSeparator" w:id="0">
    <w:p w:rsidR="00E97170" w:rsidRDefault="00E97170" w:rsidP="00A56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1E54"/>
    <w:multiLevelType w:val="hybridMultilevel"/>
    <w:tmpl w:val="44F8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774BB"/>
    <w:multiLevelType w:val="hybridMultilevel"/>
    <w:tmpl w:val="1BCC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03E5C"/>
    <w:multiLevelType w:val="hybridMultilevel"/>
    <w:tmpl w:val="07106D4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
    <w:nsid w:val="3A9648BC"/>
    <w:multiLevelType w:val="hybridMultilevel"/>
    <w:tmpl w:val="796A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905E7"/>
    <w:multiLevelType w:val="hybridMultilevel"/>
    <w:tmpl w:val="337E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6151C2"/>
    <w:rsid w:val="0000412B"/>
    <w:rsid w:val="00010D9F"/>
    <w:rsid w:val="00017723"/>
    <w:rsid w:val="00021527"/>
    <w:rsid w:val="000230AF"/>
    <w:rsid w:val="000241BE"/>
    <w:rsid w:val="000314C0"/>
    <w:rsid w:val="00042668"/>
    <w:rsid w:val="0004360B"/>
    <w:rsid w:val="00043AF4"/>
    <w:rsid w:val="000504D4"/>
    <w:rsid w:val="00052A0F"/>
    <w:rsid w:val="00055904"/>
    <w:rsid w:val="00057162"/>
    <w:rsid w:val="000638EA"/>
    <w:rsid w:val="0006684C"/>
    <w:rsid w:val="00067137"/>
    <w:rsid w:val="000677A1"/>
    <w:rsid w:val="00071CA8"/>
    <w:rsid w:val="000733FD"/>
    <w:rsid w:val="00075608"/>
    <w:rsid w:val="00076268"/>
    <w:rsid w:val="00076274"/>
    <w:rsid w:val="00084A8B"/>
    <w:rsid w:val="00085AA4"/>
    <w:rsid w:val="00092683"/>
    <w:rsid w:val="000947AA"/>
    <w:rsid w:val="00094DA5"/>
    <w:rsid w:val="00096022"/>
    <w:rsid w:val="000A0472"/>
    <w:rsid w:val="000A0661"/>
    <w:rsid w:val="000A0923"/>
    <w:rsid w:val="000A4561"/>
    <w:rsid w:val="000A4A7B"/>
    <w:rsid w:val="000B2F68"/>
    <w:rsid w:val="000B3975"/>
    <w:rsid w:val="000B708C"/>
    <w:rsid w:val="000B79F3"/>
    <w:rsid w:val="000C0C1D"/>
    <w:rsid w:val="000C108F"/>
    <w:rsid w:val="000C1C70"/>
    <w:rsid w:val="000C5FF1"/>
    <w:rsid w:val="000C7019"/>
    <w:rsid w:val="000C731C"/>
    <w:rsid w:val="000C7804"/>
    <w:rsid w:val="000D1F03"/>
    <w:rsid w:val="000D2EEF"/>
    <w:rsid w:val="000D5E7F"/>
    <w:rsid w:val="000D776D"/>
    <w:rsid w:val="000D7B18"/>
    <w:rsid w:val="000E2B31"/>
    <w:rsid w:val="000E3D5B"/>
    <w:rsid w:val="000E5364"/>
    <w:rsid w:val="000F480A"/>
    <w:rsid w:val="001049B8"/>
    <w:rsid w:val="00111F85"/>
    <w:rsid w:val="00114711"/>
    <w:rsid w:val="001208D7"/>
    <w:rsid w:val="00121107"/>
    <w:rsid w:val="00122659"/>
    <w:rsid w:val="00122CEF"/>
    <w:rsid w:val="00123BB5"/>
    <w:rsid w:val="00130331"/>
    <w:rsid w:val="00140EED"/>
    <w:rsid w:val="00142702"/>
    <w:rsid w:val="00142D89"/>
    <w:rsid w:val="001431C9"/>
    <w:rsid w:val="0015057B"/>
    <w:rsid w:val="00150690"/>
    <w:rsid w:val="00153E16"/>
    <w:rsid w:val="00155AE8"/>
    <w:rsid w:val="00157DA2"/>
    <w:rsid w:val="00160605"/>
    <w:rsid w:val="0016550D"/>
    <w:rsid w:val="00165ABD"/>
    <w:rsid w:val="001704B8"/>
    <w:rsid w:val="00173700"/>
    <w:rsid w:val="00181A00"/>
    <w:rsid w:val="00184FE3"/>
    <w:rsid w:val="001911CB"/>
    <w:rsid w:val="00192BDB"/>
    <w:rsid w:val="00194D4A"/>
    <w:rsid w:val="00197C48"/>
    <w:rsid w:val="001A0467"/>
    <w:rsid w:val="001A10F9"/>
    <w:rsid w:val="001A4A67"/>
    <w:rsid w:val="001B0AF6"/>
    <w:rsid w:val="001B2E6A"/>
    <w:rsid w:val="001B7307"/>
    <w:rsid w:val="001C39CA"/>
    <w:rsid w:val="001C4F6F"/>
    <w:rsid w:val="001C6A0D"/>
    <w:rsid w:val="001D39C8"/>
    <w:rsid w:val="001D3FB4"/>
    <w:rsid w:val="001E3A6D"/>
    <w:rsid w:val="001E6285"/>
    <w:rsid w:val="001E75A4"/>
    <w:rsid w:val="001F0B54"/>
    <w:rsid w:val="001F24DA"/>
    <w:rsid w:val="001F51DE"/>
    <w:rsid w:val="001F5858"/>
    <w:rsid w:val="001F5E3F"/>
    <w:rsid w:val="001F7D82"/>
    <w:rsid w:val="0020268A"/>
    <w:rsid w:val="00202F80"/>
    <w:rsid w:val="0021299F"/>
    <w:rsid w:val="00213E13"/>
    <w:rsid w:val="002143E8"/>
    <w:rsid w:val="00220411"/>
    <w:rsid w:val="00220C4B"/>
    <w:rsid w:val="00223691"/>
    <w:rsid w:val="00225F81"/>
    <w:rsid w:val="0023192F"/>
    <w:rsid w:val="002337EC"/>
    <w:rsid w:val="00241C3D"/>
    <w:rsid w:val="002530E1"/>
    <w:rsid w:val="002576FF"/>
    <w:rsid w:val="00260340"/>
    <w:rsid w:val="00272569"/>
    <w:rsid w:val="002754F3"/>
    <w:rsid w:val="00276354"/>
    <w:rsid w:val="0028121E"/>
    <w:rsid w:val="00281B25"/>
    <w:rsid w:val="00284C34"/>
    <w:rsid w:val="00284EB7"/>
    <w:rsid w:val="0028742F"/>
    <w:rsid w:val="00292415"/>
    <w:rsid w:val="0029277E"/>
    <w:rsid w:val="00297E98"/>
    <w:rsid w:val="002A38A2"/>
    <w:rsid w:val="002A4EC1"/>
    <w:rsid w:val="002A7353"/>
    <w:rsid w:val="002B1466"/>
    <w:rsid w:val="002B1569"/>
    <w:rsid w:val="002B261F"/>
    <w:rsid w:val="002C115F"/>
    <w:rsid w:val="002C4DFE"/>
    <w:rsid w:val="002C5150"/>
    <w:rsid w:val="002C6F65"/>
    <w:rsid w:val="002D4821"/>
    <w:rsid w:val="002D68ED"/>
    <w:rsid w:val="002E1727"/>
    <w:rsid w:val="002E3CD0"/>
    <w:rsid w:val="002E5ACF"/>
    <w:rsid w:val="002F4205"/>
    <w:rsid w:val="002F4A19"/>
    <w:rsid w:val="002F770A"/>
    <w:rsid w:val="0030282F"/>
    <w:rsid w:val="00303373"/>
    <w:rsid w:val="00304ADF"/>
    <w:rsid w:val="003121C2"/>
    <w:rsid w:val="003174EE"/>
    <w:rsid w:val="0032318A"/>
    <w:rsid w:val="00325AA0"/>
    <w:rsid w:val="00326915"/>
    <w:rsid w:val="00330CC4"/>
    <w:rsid w:val="00331BBF"/>
    <w:rsid w:val="0033284D"/>
    <w:rsid w:val="003347B8"/>
    <w:rsid w:val="00336507"/>
    <w:rsid w:val="0033679D"/>
    <w:rsid w:val="00336BAB"/>
    <w:rsid w:val="00336EE1"/>
    <w:rsid w:val="0034266C"/>
    <w:rsid w:val="003431CD"/>
    <w:rsid w:val="00345AAB"/>
    <w:rsid w:val="003460D2"/>
    <w:rsid w:val="00346F52"/>
    <w:rsid w:val="00350C90"/>
    <w:rsid w:val="00351259"/>
    <w:rsid w:val="00351DE2"/>
    <w:rsid w:val="00353EFA"/>
    <w:rsid w:val="003564AC"/>
    <w:rsid w:val="003605E6"/>
    <w:rsid w:val="003665DA"/>
    <w:rsid w:val="0037469A"/>
    <w:rsid w:val="0037509F"/>
    <w:rsid w:val="003836DE"/>
    <w:rsid w:val="00386D31"/>
    <w:rsid w:val="00391966"/>
    <w:rsid w:val="00391E82"/>
    <w:rsid w:val="00394474"/>
    <w:rsid w:val="00394693"/>
    <w:rsid w:val="003956E0"/>
    <w:rsid w:val="003973F1"/>
    <w:rsid w:val="003A49CB"/>
    <w:rsid w:val="003A57D7"/>
    <w:rsid w:val="003A7732"/>
    <w:rsid w:val="003A7853"/>
    <w:rsid w:val="003B078C"/>
    <w:rsid w:val="003B07CB"/>
    <w:rsid w:val="003B0E64"/>
    <w:rsid w:val="003B1585"/>
    <w:rsid w:val="003B2A09"/>
    <w:rsid w:val="003B72CA"/>
    <w:rsid w:val="003B7348"/>
    <w:rsid w:val="003C0533"/>
    <w:rsid w:val="003C21C4"/>
    <w:rsid w:val="003C2443"/>
    <w:rsid w:val="003D3692"/>
    <w:rsid w:val="003D3DB7"/>
    <w:rsid w:val="003E05F4"/>
    <w:rsid w:val="003E2074"/>
    <w:rsid w:val="003E7F7A"/>
    <w:rsid w:val="003F0FBA"/>
    <w:rsid w:val="003F26A4"/>
    <w:rsid w:val="003F2FAD"/>
    <w:rsid w:val="003F5306"/>
    <w:rsid w:val="003F7A3F"/>
    <w:rsid w:val="0040158E"/>
    <w:rsid w:val="00403298"/>
    <w:rsid w:val="00405360"/>
    <w:rsid w:val="004075C4"/>
    <w:rsid w:val="0041561E"/>
    <w:rsid w:val="00415CF9"/>
    <w:rsid w:val="004174A0"/>
    <w:rsid w:val="00422612"/>
    <w:rsid w:val="00422790"/>
    <w:rsid w:val="00423235"/>
    <w:rsid w:val="004236BC"/>
    <w:rsid w:val="0042537D"/>
    <w:rsid w:val="00431F3A"/>
    <w:rsid w:val="00433ECF"/>
    <w:rsid w:val="0043456A"/>
    <w:rsid w:val="004413E8"/>
    <w:rsid w:val="004424EA"/>
    <w:rsid w:val="004466A1"/>
    <w:rsid w:val="00451472"/>
    <w:rsid w:val="00451CC5"/>
    <w:rsid w:val="00454F1A"/>
    <w:rsid w:val="00455AB7"/>
    <w:rsid w:val="00457D13"/>
    <w:rsid w:val="00463C1A"/>
    <w:rsid w:val="00472DB8"/>
    <w:rsid w:val="00475D85"/>
    <w:rsid w:val="00476F5D"/>
    <w:rsid w:val="004808F3"/>
    <w:rsid w:val="0048099B"/>
    <w:rsid w:val="004836D8"/>
    <w:rsid w:val="004847C1"/>
    <w:rsid w:val="00486310"/>
    <w:rsid w:val="004866CB"/>
    <w:rsid w:val="00487329"/>
    <w:rsid w:val="004877E8"/>
    <w:rsid w:val="00494E80"/>
    <w:rsid w:val="004A1D88"/>
    <w:rsid w:val="004A3A28"/>
    <w:rsid w:val="004A4873"/>
    <w:rsid w:val="004A7616"/>
    <w:rsid w:val="004B2675"/>
    <w:rsid w:val="004B26B6"/>
    <w:rsid w:val="004B4AF2"/>
    <w:rsid w:val="004B5339"/>
    <w:rsid w:val="004B7932"/>
    <w:rsid w:val="004C56C2"/>
    <w:rsid w:val="004D0814"/>
    <w:rsid w:val="004D433D"/>
    <w:rsid w:val="004D61AF"/>
    <w:rsid w:val="004E5B3A"/>
    <w:rsid w:val="004E66F1"/>
    <w:rsid w:val="004F54F0"/>
    <w:rsid w:val="00500E47"/>
    <w:rsid w:val="00504968"/>
    <w:rsid w:val="0052030D"/>
    <w:rsid w:val="00524FFE"/>
    <w:rsid w:val="00526647"/>
    <w:rsid w:val="00527093"/>
    <w:rsid w:val="0053011C"/>
    <w:rsid w:val="0053103F"/>
    <w:rsid w:val="005319BD"/>
    <w:rsid w:val="00541981"/>
    <w:rsid w:val="0054252C"/>
    <w:rsid w:val="0054330A"/>
    <w:rsid w:val="005458BF"/>
    <w:rsid w:val="00547DAC"/>
    <w:rsid w:val="00552582"/>
    <w:rsid w:val="00552B44"/>
    <w:rsid w:val="00565A03"/>
    <w:rsid w:val="00572B95"/>
    <w:rsid w:val="00574487"/>
    <w:rsid w:val="00576CB4"/>
    <w:rsid w:val="00577C58"/>
    <w:rsid w:val="005827A9"/>
    <w:rsid w:val="00583661"/>
    <w:rsid w:val="00586198"/>
    <w:rsid w:val="005918A5"/>
    <w:rsid w:val="00591B35"/>
    <w:rsid w:val="00591F4F"/>
    <w:rsid w:val="005950A6"/>
    <w:rsid w:val="00596751"/>
    <w:rsid w:val="00597551"/>
    <w:rsid w:val="005A306C"/>
    <w:rsid w:val="005A37C9"/>
    <w:rsid w:val="005A5B43"/>
    <w:rsid w:val="005A60E5"/>
    <w:rsid w:val="005B4D25"/>
    <w:rsid w:val="005B78F3"/>
    <w:rsid w:val="005C4EEC"/>
    <w:rsid w:val="005C50B5"/>
    <w:rsid w:val="005C63AD"/>
    <w:rsid w:val="005E1F5B"/>
    <w:rsid w:val="005E6D91"/>
    <w:rsid w:val="005F6E29"/>
    <w:rsid w:val="006052F6"/>
    <w:rsid w:val="00611FFE"/>
    <w:rsid w:val="006126A3"/>
    <w:rsid w:val="006151C2"/>
    <w:rsid w:val="006217B3"/>
    <w:rsid w:val="006274AD"/>
    <w:rsid w:val="00627B7B"/>
    <w:rsid w:val="006339E3"/>
    <w:rsid w:val="006346B2"/>
    <w:rsid w:val="00637058"/>
    <w:rsid w:val="00641C5C"/>
    <w:rsid w:val="00645A6A"/>
    <w:rsid w:val="00650048"/>
    <w:rsid w:val="00653107"/>
    <w:rsid w:val="006577D0"/>
    <w:rsid w:val="0066202B"/>
    <w:rsid w:val="00662513"/>
    <w:rsid w:val="00671074"/>
    <w:rsid w:val="00672FD1"/>
    <w:rsid w:val="00676367"/>
    <w:rsid w:val="006801FC"/>
    <w:rsid w:val="0068065D"/>
    <w:rsid w:val="006847A8"/>
    <w:rsid w:val="00687461"/>
    <w:rsid w:val="00691D15"/>
    <w:rsid w:val="00697AAD"/>
    <w:rsid w:val="006A26C0"/>
    <w:rsid w:val="006A3B22"/>
    <w:rsid w:val="006B425F"/>
    <w:rsid w:val="006B5999"/>
    <w:rsid w:val="006B79BD"/>
    <w:rsid w:val="006C257B"/>
    <w:rsid w:val="006C2CE0"/>
    <w:rsid w:val="006C2FEF"/>
    <w:rsid w:val="006C521A"/>
    <w:rsid w:val="006C73AA"/>
    <w:rsid w:val="006E17E7"/>
    <w:rsid w:val="006E2495"/>
    <w:rsid w:val="006E2ED3"/>
    <w:rsid w:val="006F3F28"/>
    <w:rsid w:val="006F70BB"/>
    <w:rsid w:val="007060E8"/>
    <w:rsid w:val="00712B4C"/>
    <w:rsid w:val="00713627"/>
    <w:rsid w:val="007145A7"/>
    <w:rsid w:val="00722C7F"/>
    <w:rsid w:val="00732AE6"/>
    <w:rsid w:val="00744F5B"/>
    <w:rsid w:val="007500B0"/>
    <w:rsid w:val="00750A87"/>
    <w:rsid w:val="00750D0F"/>
    <w:rsid w:val="0075397D"/>
    <w:rsid w:val="007543D6"/>
    <w:rsid w:val="007546A2"/>
    <w:rsid w:val="007564E8"/>
    <w:rsid w:val="00757124"/>
    <w:rsid w:val="007608F1"/>
    <w:rsid w:val="00760EAB"/>
    <w:rsid w:val="0076288E"/>
    <w:rsid w:val="00767F7B"/>
    <w:rsid w:val="00770DBA"/>
    <w:rsid w:val="00771947"/>
    <w:rsid w:val="00771D77"/>
    <w:rsid w:val="007773DC"/>
    <w:rsid w:val="00780396"/>
    <w:rsid w:val="007850EA"/>
    <w:rsid w:val="00785158"/>
    <w:rsid w:val="00787338"/>
    <w:rsid w:val="00791DDA"/>
    <w:rsid w:val="00792330"/>
    <w:rsid w:val="007B0CA8"/>
    <w:rsid w:val="007B0E99"/>
    <w:rsid w:val="007B4EDE"/>
    <w:rsid w:val="007B5C67"/>
    <w:rsid w:val="007B798E"/>
    <w:rsid w:val="007D2308"/>
    <w:rsid w:val="007D5B99"/>
    <w:rsid w:val="007D6350"/>
    <w:rsid w:val="007E10B7"/>
    <w:rsid w:val="007E1973"/>
    <w:rsid w:val="007E7000"/>
    <w:rsid w:val="007F16CE"/>
    <w:rsid w:val="007F344B"/>
    <w:rsid w:val="007F7325"/>
    <w:rsid w:val="008043F9"/>
    <w:rsid w:val="00810177"/>
    <w:rsid w:val="00817015"/>
    <w:rsid w:val="0082093D"/>
    <w:rsid w:val="00822201"/>
    <w:rsid w:val="00822759"/>
    <w:rsid w:val="008237FA"/>
    <w:rsid w:val="00827247"/>
    <w:rsid w:val="008332FE"/>
    <w:rsid w:val="00834183"/>
    <w:rsid w:val="00834B68"/>
    <w:rsid w:val="008470CA"/>
    <w:rsid w:val="00847486"/>
    <w:rsid w:val="00847A9D"/>
    <w:rsid w:val="0085242C"/>
    <w:rsid w:val="008606FF"/>
    <w:rsid w:val="008619B6"/>
    <w:rsid w:val="00867FF6"/>
    <w:rsid w:val="00877698"/>
    <w:rsid w:val="00877DBB"/>
    <w:rsid w:val="00880FAB"/>
    <w:rsid w:val="008853E5"/>
    <w:rsid w:val="00886173"/>
    <w:rsid w:val="00891A09"/>
    <w:rsid w:val="008A7692"/>
    <w:rsid w:val="008B10BD"/>
    <w:rsid w:val="008B2D69"/>
    <w:rsid w:val="008B5A2B"/>
    <w:rsid w:val="008B6C16"/>
    <w:rsid w:val="008C08D4"/>
    <w:rsid w:val="008C1191"/>
    <w:rsid w:val="008C1EA3"/>
    <w:rsid w:val="008C6CF3"/>
    <w:rsid w:val="008D0FF6"/>
    <w:rsid w:val="008D2900"/>
    <w:rsid w:val="008E174C"/>
    <w:rsid w:val="008E1A06"/>
    <w:rsid w:val="008E5825"/>
    <w:rsid w:val="008E7DB2"/>
    <w:rsid w:val="008F1C05"/>
    <w:rsid w:val="008F289B"/>
    <w:rsid w:val="009006BF"/>
    <w:rsid w:val="00903B45"/>
    <w:rsid w:val="0091023F"/>
    <w:rsid w:val="00915AB6"/>
    <w:rsid w:val="009205D0"/>
    <w:rsid w:val="00922933"/>
    <w:rsid w:val="00923195"/>
    <w:rsid w:val="00923A16"/>
    <w:rsid w:val="00924565"/>
    <w:rsid w:val="00924C9A"/>
    <w:rsid w:val="009262FB"/>
    <w:rsid w:val="00930380"/>
    <w:rsid w:val="009328CC"/>
    <w:rsid w:val="0093451D"/>
    <w:rsid w:val="00935004"/>
    <w:rsid w:val="00940575"/>
    <w:rsid w:val="009411AF"/>
    <w:rsid w:val="00942AF3"/>
    <w:rsid w:val="0094362A"/>
    <w:rsid w:val="00943EB5"/>
    <w:rsid w:val="009441CA"/>
    <w:rsid w:val="00944235"/>
    <w:rsid w:val="00960E72"/>
    <w:rsid w:val="00961E55"/>
    <w:rsid w:val="009639D7"/>
    <w:rsid w:val="009716CC"/>
    <w:rsid w:val="00981A90"/>
    <w:rsid w:val="009839AC"/>
    <w:rsid w:val="00996DED"/>
    <w:rsid w:val="009A0DC0"/>
    <w:rsid w:val="009A3A04"/>
    <w:rsid w:val="009A763C"/>
    <w:rsid w:val="009B0ED1"/>
    <w:rsid w:val="009C3130"/>
    <w:rsid w:val="009C711D"/>
    <w:rsid w:val="009D0C2A"/>
    <w:rsid w:val="009D6DED"/>
    <w:rsid w:val="009D7AC0"/>
    <w:rsid w:val="009E027E"/>
    <w:rsid w:val="009E147B"/>
    <w:rsid w:val="009E1EEE"/>
    <w:rsid w:val="009E3692"/>
    <w:rsid w:val="009E5B32"/>
    <w:rsid w:val="009E7809"/>
    <w:rsid w:val="00A01E25"/>
    <w:rsid w:val="00A04F5D"/>
    <w:rsid w:val="00A05BA5"/>
    <w:rsid w:val="00A069B9"/>
    <w:rsid w:val="00A15D60"/>
    <w:rsid w:val="00A17E80"/>
    <w:rsid w:val="00A20567"/>
    <w:rsid w:val="00A23250"/>
    <w:rsid w:val="00A25C5F"/>
    <w:rsid w:val="00A26A3B"/>
    <w:rsid w:val="00A32CEE"/>
    <w:rsid w:val="00A40BBF"/>
    <w:rsid w:val="00A43141"/>
    <w:rsid w:val="00A4470C"/>
    <w:rsid w:val="00A5081B"/>
    <w:rsid w:val="00A54D15"/>
    <w:rsid w:val="00A566AA"/>
    <w:rsid w:val="00A579B4"/>
    <w:rsid w:val="00A651A6"/>
    <w:rsid w:val="00A66814"/>
    <w:rsid w:val="00A67AF3"/>
    <w:rsid w:val="00A74631"/>
    <w:rsid w:val="00A90B49"/>
    <w:rsid w:val="00A92BE8"/>
    <w:rsid w:val="00A945EC"/>
    <w:rsid w:val="00A9484A"/>
    <w:rsid w:val="00A963E3"/>
    <w:rsid w:val="00AA093E"/>
    <w:rsid w:val="00AA3E09"/>
    <w:rsid w:val="00AB4890"/>
    <w:rsid w:val="00AC09E5"/>
    <w:rsid w:val="00AC1287"/>
    <w:rsid w:val="00AC6439"/>
    <w:rsid w:val="00AD1E23"/>
    <w:rsid w:val="00AD3A10"/>
    <w:rsid w:val="00AD4CA7"/>
    <w:rsid w:val="00AD5711"/>
    <w:rsid w:val="00AD7EFA"/>
    <w:rsid w:val="00AE19AD"/>
    <w:rsid w:val="00AE3E0F"/>
    <w:rsid w:val="00AE4445"/>
    <w:rsid w:val="00AE71AA"/>
    <w:rsid w:val="00AE7679"/>
    <w:rsid w:val="00B04D74"/>
    <w:rsid w:val="00B07F61"/>
    <w:rsid w:val="00B10B6D"/>
    <w:rsid w:val="00B206F9"/>
    <w:rsid w:val="00B22678"/>
    <w:rsid w:val="00B315C9"/>
    <w:rsid w:val="00B31CF2"/>
    <w:rsid w:val="00B368F1"/>
    <w:rsid w:val="00B4137B"/>
    <w:rsid w:val="00B41E50"/>
    <w:rsid w:val="00B41EA4"/>
    <w:rsid w:val="00B4453B"/>
    <w:rsid w:val="00B459B9"/>
    <w:rsid w:val="00B46318"/>
    <w:rsid w:val="00B46D9A"/>
    <w:rsid w:val="00B474CA"/>
    <w:rsid w:val="00B52350"/>
    <w:rsid w:val="00B52500"/>
    <w:rsid w:val="00B6589C"/>
    <w:rsid w:val="00B660EC"/>
    <w:rsid w:val="00B67256"/>
    <w:rsid w:val="00B67617"/>
    <w:rsid w:val="00B701F8"/>
    <w:rsid w:val="00B7077A"/>
    <w:rsid w:val="00B76AA4"/>
    <w:rsid w:val="00B76FD9"/>
    <w:rsid w:val="00B82C3F"/>
    <w:rsid w:val="00B83C54"/>
    <w:rsid w:val="00B915CE"/>
    <w:rsid w:val="00BA3DB0"/>
    <w:rsid w:val="00BA6E8B"/>
    <w:rsid w:val="00BB0DC3"/>
    <w:rsid w:val="00BC0633"/>
    <w:rsid w:val="00BC3DB8"/>
    <w:rsid w:val="00BC5B63"/>
    <w:rsid w:val="00BD4967"/>
    <w:rsid w:val="00BD7D1C"/>
    <w:rsid w:val="00BE02AB"/>
    <w:rsid w:val="00BE2E45"/>
    <w:rsid w:val="00BE65E3"/>
    <w:rsid w:val="00BE70F5"/>
    <w:rsid w:val="00BE7CED"/>
    <w:rsid w:val="00BF203A"/>
    <w:rsid w:val="00BF241D"/>
    <w:rsid w:val="00BF296C"/>
    <w:rsid w:val="00BF5ECE"/>
    <w:rsid w:val="00BF6784"/>
    <w:rsid w:val="00BF6820"/>
    <w:rsid w:val="00BF7DD8"/>
    <w:rsid w:val="00C11FFE"/>
    <w:rsid w:val="00C143AF"/>
    <w:rsid w:val="00C163D6"/>
    <w:rsid w:val="00C2017D"/>
    <w:rsid w:val="00C2057D"/>
    <w:rsid w:val="00C2224B"/>
    <w:rsid w:val="00C2517D"/>
    <w:rsid w:val="00C314B9"/>
    <w:rsid w:val="00C32D62"/>
    <w:rsid w:val="00C36197"/>
    <w:rsid w:val="00C3784A"/>
    <w:rsid w:val="00C40693"/>
    <w:rsid w:val="00C40F8E"/>
    <w:rsid w:val="00C41ABE"/>
    <w:rsid w:val="00C445B3"/>
    <w:rsid w:val="00C462BF"/>
    <w:rsid w:val="00C47B21"/>
    <w:rsid w:val="00C5059D"/>
    <w:rsid w:val="00C51D1A"/>
    <w:rsid w:val="00C5271A"/>
    <w:rsid w:val="00C5313B"/>
    <w:rsid w:val="00C536EC"/>
    <w:rsid w:val="00C53E01"/>
    <w:rsid w:val="00C60D6E"/>
    <w:rsid w:val="00C61AF2"/>
    <w:rsid w:val="00C639B3"/>
    <w:rsid w:val="00C646B4"/>
    <w:rsid w:val="00C66801"/>
    <w:rsid w:val="00C67424"/>
    <w:rsid w:val="00C71950"/>
    <w:rsid w:val="00C71E3B"/>
    <w:rsid w:val="00C746C3"/>
    <w:rsid w:val="00C80806"/>
    <w:rsid w:val="00C811CD"/>
    <w:rsid w:val="00C82901"/>
    <w:rsid w:val="00C84590"/>
    <w:rsid w:val="00C9073E"/>
    <w:rsid w:val="00C9074B"/>
    <w:rsid w:val="00C92140"/>
    <w:rsid w:val="00C92611"/>
    <w:rsid w:val="00C93854"/>
    <w:rsid w:val="00C94EAD"/>
    <w:rsid w:val="00C964F1"/>
    <w:rsid w:val="00C969A9"/>
    <w:rsid w:val="00CA01DD"/>
    <w:rsid w:val="00CA0DBE"/>
    <w:rsid w:val="00CA37B1"/>
    <w:rsid w:val="00CA4A92"/>
    <w:rsid w:val="00CA6FE4"/>
    <w:rsid w:val="00CB4FA1"/>
    <w:rsid w:val="00CB60A9"/>
    <w:rsid w:val="00CC2205"/>
    <w:rsid w:val="00CC3C23"/>
    <w:rsid w:val="00CC7EF7"/>
    <w:rsid w:val="00CD05F6"/>
    <w:rsid w:val="00CD4D9A"/>
    <w:rsid w:val="00CE33A3"/>
    <w:rsid w:val="00CE6024"/>
    <w:rsid w:val="00CF3524"/>
    <w:rsid w:val="00CF7ED2"/>
    <w:rsid w:val="00D0040F"/>
    <w:rsid w:val="00D01CFC"/>
    <w:rsid w:val="00D01EBF"/>
    <w:rsid w:val="00D06351"/>
    <w:rsid w:val="00D0731C"/>
    <w:rsid w:val="00D1085B"/>
    <w:rsid w:val="00D26820"/>
    <w:rsid w:val="00D26FA6"/>
    <w:rsid w:val="00D36180"/>
    <w:rsid w:val="00D4256C"/>
    <w:rsid w:val="00D442D3"/>
    <w:rsid w:val="00D463A8"/>
    <w:rsid w:val="00D50095"/>
    <w:rsid w:val="00D5015C"/>
    <w:rsid w:val="00D502E6"/>
    <w:rsid w:val="00D54790"/>
    <w:rsid w:val="00D558F1"/>
    <w:rsid w:val="00D57574"/>
    <w:rsid w:val="00D57C8B"/>
    <w:rsid w:val="00D603E9"/>
    <w:rsid w:val="00D6099B"/>
    <w:rsid w:val="00D63A92"/>
    <w:rsid w:val="00D7293B"/>
    <w:rsid w:val="00D75171"/>
    <w:rsid w:val="00D75B61"/>
    <w:rsid w:val="00D760FC"/>
    <w:rsid w:val="00D80075"/>
    <w:rsid w:val="00D81684"/>
    <w:rsid w:val="00D81F58"/>
    <w:rsid w:val="00D83021"/>
    <w:rsid w:val="00D8422A"/>
    <w:rsid w:val="00D848B8"/>
    <w:rsid w:val="00D8598A"/>
    <w:rsid w:val="00D9055F"/>
    <w:rsid w:val="00D921C2"/>
    <w:rsid w:val="00D97B49"/>
    <w:rsid w:val="00DA0098"/>
    <w:rsid w:val="00DA0F38"/>
    <w:rsid w:val="00DA1EF0"/>
    <w:rsid w:val="00DA4F6A"/>
    <w:rsid w:val="00DA7E5D"/>
    <w:rsid w:val="00DB3574"/>
    <w:rsid w:val="00DC3916"/>
    <w:rsid w:val="00DC4BE4"/>
    <w:rsid w:val="00DC540D"/>
    <w:rsid w:val="00DD51B2"/>
    <w:rsid w:val="00DE7AF2"/>
    <w:rsid w:val="00DE7EC8"/>
    <w:rsid w:val="00DE7FC2"/>
    <w:rsid w:val="00DF1AF5"/>
    <w:rsid w:val="00DF63FF"/>
    <w:rsid w:val="00E018ED"/>
    <w:rsid w:val="00E01EED"/>
    <w:rsid w:val="00E0207F"/>
    <w:rsid w:val="00E13009"/>
    <w:rsid w:val="00E22687"/>
    <w:rsid w:val="00E22F87"/>
    <w:rsid w:val="00E2354B"/>
    <w:rsid w:val="00E24DE5"/>
    <w:rsid w:val="00E277E6"/>
    <w:rsid w:val="00E306DC"/>
    <w:rsid w:val="00E30D3E"/>
    <w:rsid w:val="00E31829"/>
    <w:rsid w:val="00E32363"/>
    <w:rsid w:val="00E3277E"/>
    <w:rsid w:val="00E32D1A"/>
    <w:rsid w:val="00E345B3"/>
    <w:rsid w:val="00E37E58"/>
    <w:rsid w:val="00E406D9"/>
    <w:rsid w:val="00E421C8"/>
    <w:rsid w:val="00E435F2"/>
    <w:rsid w:val="00E43B40"/>
    <w:rsid w:val="00E527F6"/>
    <w:rsid w:val="00E53C5B"/>
    <w:rsid w:val="00E542C2"/>
    <w:rsid w:val="00E55EE8"/>
    <w:rsid w:val="00E61C02"/>
    <w:rsid w:val="00E62BCB"/>
    <w:rsid w:val="00E65D89"/>
    <w:rsid w:val="00E65FF7"/>
    <w:rsid w:val="00E7564E"/>
    <w:rsid w:val="00E776F3"/>
    <w:rsid w:val="00E82D48"/>
    <w:rsid w:val="00E84EF0"/>
    <w:rsid w:val="00E90B7D"/>
    <w:rsid w:val="00E916F3"/>
    <w:rsid w:val="00E94388"/>
    <w:rsid w:val="00E97170"/>
    <w:rsid w:val="00EA047B"/>
    <w:rsid w:val="00EA3FE0"/>
    <w:rsid w:val="00EA438E"/>
    <w:rsid w:val="00EB28F7"/>
    <w:rsid w:val="00EB2C1D"/>
    <w:rsid w:val="00EB425E"/>
    <w:rsid w:val="00EB517E"/>
    <w:rsid w:val="00ED186C"/>
    <w:rsid w:val="00ED3E3B"/>
    <w:rsid w:val="00ED7EDE"/>
    <w:rsid w:val="00EE5818"/>
    <w:rsid w:val="00EE59FA"/>
    <w:rsid w:val="00EF0EFF"/>
    <w:rsid w:val="00EF0F86"/>
    <w:rsid w:val="00EF249A"/>
    <w:rsid w:val="00EF6C15"/>
    <w:rsid w:val="00EF7318"/>
    <w:rsid w:val="00EF775F"/>
    <w:rsid w:val="00F016DA"/>
    <w:rsid w:val="00F02463"/>
    <w:rsid w:val="00F06F90"/>
    <w:rsid w:val="00F100B6"/>
    <w:rsid w:val="00F111BE"/>
    <w:rsid w:val="00F1148F"/>
    <w:rsid w:val="00F11D20"/>
    <w:rsid w:val="00F13E80"/>
    <w:rsid w:val="00F15536"/>
    <w:rsid w:val="00F16E03"/>
    <w:rsid w:val="00F177CD"/>
    <w:rsid w:val="00F2294C"/>
    <w:rsid w:val="00F2298E"/>
    <w:rsid w:val="00F23DDE"/>
    <w:rsid w:val="00F254A7"/>
    <w:rsid w:val="00F339CC"/>
    <w:rsid w:val="00F34677"/>
    <w:rsid w:val="00F36D32"/>
    <w:rsid w:val="00F409A1"/>
    <w:rsid w:val="00F42B9A"/>
    <w:rsid w:val="00F44BF5"/>
    <w:rsid w:val="00F4692A"/>
    <w:rsid w:val="00F46E85"/>
    <w:rsid w:val="00F47C6A"/>
    <w:rsid w:val="00F503C0"/>
    <w:rsid w:val="00F55B52"/>
    <w:rsid w:val="00F61061"/>
    <w:rsid w:val="00F61132"/>
    <w:rsid w:val="00F62B1C"/>
    <w:rsid w:val="00F63BFB"/>
    <w:rsid w:val="00F6612E"/>
    <w:rsid w:val="00F7015D"/>
    <w:rsid w:val="00F71081"/>
    <w:rsid w:val="00F71AFA"/>
    <w:rsid w:val="00F7645B"/>
    <w:rsid w:val="00F809BB"/>
    <w:rsid w:val="00F8419E"/>
    <w:rsid w:val="00F93B8E"/>
    <w:rsid w:val="00F96176"/>
    <w:rsid w:val="00FA0123"/>
    <w:rsid w:val="00FA3051"/>
    <w:rsid w:val="00FA4A06"/>
    <w:rsid w:val="00FA728D"/>
    <w:rsid w:val="00FA77FA"/>
    <w:rsid w:val="00FB1E7C"/>
    <w:rsid w:val="00FB4F5C"/>
    <w:rsid w:val="00FB772F"/>
    <w:rsid w:val="00FC1482"/>
    <w:rsid w:val="00FC4175"/>
    <w:rsid w:val="00FC505E"/>
    <w:rsid w:val="00FD2918"/>
    <w:rsid w:val="00FD2BA3"/>
    <w:rsid w:val="00FE375E"/>
    <w:rsid w:val="00FE7B79"/>
    <w:rsid w:val="00FF1EA4"/>
    <w:rsid w:val="00FF4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BD"/>
  </w:style>
  <w:style w:type="paragraph" w:styleId="Heading1">
    <w:name w:val="heading 1"/>
    <w:basedOn w:val="Normal"/>
    <w:next w:val="Normal"/>
    <w:link w:val="Heading1Char"/>
    <w:uiPriority w:val="9"/>
    <w:qFormat/>
    <w:rsid w:val="00E43B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15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5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151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51C2"/>
    <w:rPr>
      <w:rFonts w:ascii="Times New Roman" w:eastAsia="Times New Roman" w:hAnsi="Times New Roman" w:cs="Times New Roman"/>
      <w:b/>
      <w:bCs/>
      <w:sz w:val="27"/>
      <w:szCs w:val="27"/>
    </w:rPr>
  </w:style>
  <w:style w:type="character" w:styleId="Emphasis">
    <w:name w:val="Emphasis"/>
    <w:basedOn w:val="DefaultParagraphFont"/>
    <w:uiPriority w:val="20"/>
    <w:qFormat/>
    <w:rsid w:val="006151C2"/>
    <w:rPr>
      <w:i/>
      <w:iCs/>
    </w:rPr>
  </w:style>
  <w:style w:type="character" w:customStyle="1" w:styleId="apple-converted-space">
    <w:name w:val="apple-converted-space"/>
    <w:basedOn w:val="DefaultParagraphFont"/>
    <w:rsid w:val="006151C2"/>
  </w:style>
  <w:style w:type="character" w:styleId="Hyperlink">
    <w:name w:val="Hyperlink"/>
    <w:basedOn w:val="DefaultParagraphFont"/>
    <w:uiPriority w:val="99"/>
    <w:unhideWhenUsed/>
    <w:rsid w:val="006151C2"/>
    <w:rPr>
      <w:color w:val="0000FF" w:themeColor="hyperlink"/>
      <w:u w:val="single"/>
    </w:rPr>
  </w:style>
  <w:style w:type="paragraph" w:customStyle="1" w:styleId="paragraphstyle">
    <w:name w:val="paragraph_style"/>
    <w:basedOn w:val="Normal"/>
    <w:rsid w:val="000D5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_1"/>
    <w:basedOn w:val="DefaultParagraphFont"/>
    <w:rsid w:val="000D5E7F"/>
  </w:style>
  <w:style w:type="character" w:customStyle="1" w:styleId="style2">
    <w:name w:val="style_2"/>
    <w:basedOn w:val="DefaultParagraphFont"/>
    <w:rsid w:val="000D5E7F"/>
  </w:style>
  <w:style w:type="character" w:customStyle="1" w:styleId="style3">
    <w:name w:val="style_3"/>
    <w:basedOn w:val="DefaultParagraphFont"/>
    <w:rsid w:val="000D5E7F"/>
  </w:style>
  <w:style w:type="paragraph" w:customStyle="1" w:styleId="paragraphstyle1">
    <w:name w:val="paragraph_style_1"/>
    <w:basedOn w:val="Normal"/>
    <w:rsid w:val="000D5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name">
    <w:name w:val="profile-name"/>
    <w:basedOn w:val="DefaultParagraphFont"/>
    <w:rsid w:val="00D80075"/>
  </w:style>
  <w:style w:type="character" w:customStyle="1" w:styleId="profile-position-title">
    <w:name w:val="profile-position-title"/>
    <w:basedOn w:val="DefaultParagraphFont"/>
    <w:rsid w:val="00D80075"/>
  </w:style>
  <w:style w:type="paragraph" w:styleId="FootnoteText">
    <w:name w:val="footnote text"/>
    <w:basedOn w:val="Normal"/>
    <w:link w:val="FootnoteTextChar"/>
    <w:rsid w:val="00A566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566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66AA"/>
    <w:rPr>
      <w:vertAlign w:val="superscript"/>
    </w:rPr>
  </w:style>
  <w:style w:type="character" w:styleId="CommentReference">
    <w:name w:val="annotation reference"/>
    <w:basedOn w:val="DefaultParagraphFont"/>
    <w:uiPriority w:val="99"/>
    <w:semiHidden/>
    <w:unhideWhenUsed/>
    <w:rsid w:val="006E17E7"/>
    <w:rPr>
      <w:sz w:val="18"/>
      <w:szCs w:val="18"/>
    </w:rPr>
  </w:style>
  <w:style w:type="paragraph" w:styleId="CommentText">
    <w:name w:val="annotation text"/>
    <w:basedOn w:val="Normal"/>
    <w:link w:val="CommentTextChar"/>
    <w:uiPriority w:val="99"/>
    <w:semiHidden/>
    <w:unhideWhenUsed/>
    <w:rsid w:val="006E17E7"/>
    <w:pPr>
      <w:spacing w:line="240" w:lineRule="auto"/>
    </w:pPr>
    <w:rPr>
      <w:sz w:val="24"/>
      <w:szCs w:val="24"/>
    </w:rPr>
  </w:style>
  <w:style w:type="character" w:customStyle="1" w:styleId="CommentTextChar">
    <w:name w:val="Comment Text Char"/>
    <w:basedOn w:val="DefaultParagraphFont"/>
    <w:link w:val="CommentText"/>
    <w:uiPriority w:val="99"/>
    <w:semiHidden/>
    <w:rsid w:val="006E17E7"/>
    <w:rPr>
      <w:sz w:val="24"/>
      <w:szCs w:val="24"/>
    </w:rPr>
  </w:style>
  <w:style w:type="paragraph" w:styleId="CommentSubject">
    <w:name w:val="annotation subject"/>
    <w:basedOn w:val="CommentText"/>
    <w:next w:val="CommentText"/>
    <w:link w:val="CommentSubjectChar"/>
    <w:uiPriority w:val="99"/>
    <w:semiHidden/>
    <w:unhideWhenUsed/>
    <w:rsid w:val="006E17E7"/>
    <w:rPr>
      <w:b/>
      <w:bCs/>
      <w:sz w:val="20"/>
      <w:szCs w:val="20"/>
    </w:rPr>
  </w:style>
  <w:style w:type="character" w:customStyle="1" w:styleId="CommentSubjectChar">
    <w:name w:val="Comment Subject Char"/>
    <w:basedOn w:val="CommentTextChar"/>
    <w:link w:val="CommentSubject"/>
    <w:uiPriority w:val="99"/>
    <w:semiHidden/>
    <w:rsid w:val="006E17E7"/>
    <w:rPr>
      <w:b/>
      <w:bCs/>
      <w:sz w:val="20"/>
      <w:szCs w:val="20"/>
    </w:rPr>
  </w:style>
  <w:style w:type="paragraph" w:styleId="BalloonText">
    <w:name w:val="Balloon Text"/>
    <w:basedOn w:val="Normal"/>
    <w:link w:val="BalloonTextChar"/>
    <w:uiPriority w:val="99"/>
    <w:semiHidden/>
    <w:unhideWhenUsed/>
    <w:rsid w:val="006E17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7E7"/>
    <w:rPr>
      <w:rFonts w:ascii="Lucida Grande" w:hAnsi="Lucida Grande" w:cs="Lucida Grande"/>
      <w:sz w:val="18"/>
      <w:szCs w:val="18"/>
    </w:rPr>
  </w:style>
  <w:style w:type="paragraph" w:styleId="ListParagraph">
    <w:name w:val="List Paragraph"/>
    <w:basedOn w:val="Normal"/>
    <w:uiPriority w:val="34"/>
    <w:qFormat/>
    <w:rsid w:val="00C646B4"/>
    <w:pPr>
      <w:ind w:left="720"/>
      <w:contextualSpacing/>
    </w:pPr>
    <w:rPr>
      <w:rFonts w:ascii="Times New Roman" w:hAnsi="Times New Roman"/>
      <w:sz w:val="20"/>
      <w:szCs w:val="20"/>
    </w:rPr>
  </w:style>
  <w:style w:type="character" w:customStyle="1" w:styleId="Heading1Char">
    <w:name w:val="Heading 1 Char"/>
    <w:basedOn w:val="DefaultParagraphFont"/>
    <w:link w:val="Heading1"/>
    <w:uiPriority w:val="9"/>
    <w:rsid w:val="00E43B40"/>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E43B40"/>
  </w:style>
  <w:style w:type="character" w:customStyle="1" w:styleId="a-size-large">
    <w:name w:val="a-size-large"/>
    <w:basedOn w:val="DefaultParagraphFont"/>
    <w:rsid w:val="00E43B40"/>
  </w:style>
  <w:style w:type="character" w:customStyle="1" w:styleId="author">
    <w:name w:val="author"/>
    <w:basedOn w:val="DefaultParagraphFont"/>
    <w:rsid w:val="00E43B40"/>
  </w:style>
  <w:style w:type="character" w:customStyle="1" w:styleId="a-color-secondary">
    <w:name w:val="a-color-secondary"/>
    <w:basedOn w:val="DefaultParagraphFont"/>
    <w:rsid w:val="00E43B40"/>
  </w:style>
  <w:style w:type="character" w:customStyle="1" w:styleId="a-declarative">
    <w:name w:val="a-declarative"/>
    <w:basedOn w:val="DefaultParagraphFont"/>
    <w:rsid w:val="00E43B40"/>
  </w:style>
  <w:style w:type="character" w:customStyle="1" w:styleId="a-size-medium">
    <w:name w:val="a-size-medium"/>
    <w:basedOn w:val="DefaultParagraphFont"/>
    <w:rsid w:val="00E43B40"/>
  </w:style>
  <w:style w:type="character" w:styleId="Strong">
    <w:name w:val="Strong"/>
    <w:basedOn w:val="DefaultParagraphFont"/>
    <w:uiPriority w:val="22"/>
    <w:qFormat/>
    <w:rsid w:val="00A54D15"/>
    <w:rPr>
      <w:b/>
      <w:bCs/>
    </w:rPr>
  </w:style>
  <w:style w:type="paragraph" w:styleId="Header">
    <w:name w:val="header"/>
    <w:basedOn w:val="Normal"/>
    <w:link w:val="HeaderChar"/>
    <w:uiPriority w:val="99"/>
    <w:unhideWhenUsed/>
    <w:rsid w:val="009E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92"/>
  </w:style>
  <w:style w:type="paragraph" w:styleId="Footer">
    <w:name w:val="footer"/>
    <w:basedOn w:val="Normal"/>
    <w:link w:val="FooterChar"/>
    <w:uiPriority w:val="99"/>
    <w:unhideWhenUsed/>
    <w:rsid w:val="009E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92"/>
  </w:style>
  <w:style w:type="paragraph" w:customStyle="1" w:styleId="xmsonormal">
    <w:name w:val="x_msonormal"/>
    <w:basedOn w:val="Normal"/>
    <w:rsid w:val="003F0FBA"/>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23195"/>
  </w:style>
  <w:style w:type="paragraph" w:styleId="EndnoteText">
    <w:name w:val="endnote text"/>
    <w:basedOn w:val="Normal"/>
    <w:link w:val="EndnoteTextChar"/>
    <w:uiPriority w:val="99"/>
    <w:unhideWhenUsed/>
    <w:rsid w:val="00071CA8"/>
    <w:pPr>
      <w:spacing w:after="0" w:line="240" w:lineRule="auto"/>
    </w:pPr>
    <w:rPr>
      <w:sz w:val="20"/>
      <w:szCs w:val="20"/>
    </w:rPr>
  </w:style>
  <w:style w:type="character" w:customStyle="1" w:styleId="EndnoteTextChar">
    <w:name w:val="Endnote Text Char"/>
    <w:basedOn w:val="DefaultParagraphFont"/>
    <w:link w:val="EndnoteText"/>
    <w:uiPriority w:val="99"/>
    <w:rsid w:val="00071CA8"/>
    <w:rPr>
      <w:sz w:val="20"/>
      <w:szCs w:val="20"/>
    </w:rPr>
  </w:style>
  <w:style w:type="character" w:styleId="EndnoteReference">
    <w:name w:val="endnote reference"/>
    <w:basedOn w:val="DefaultParagraphFont"/>
    <w:uiPriority w:val="99"/>
    <w:unhideWhenUsed/>
    <w:rsid w:val="00071CA8"/>
    <w:rPr>
      <w:vertAlign w:val="superscript"/>
    </w:rPr>
  </w:style>
  <w:style w:type="character" w:customStyle="1" w:styleId="PlainTextChar">
    <w:name w:val="Plain Text Char"/>
    <w:basedOn w:val="DefaultParagraphFont"/>
    <w:link w:val="PlainText"/>
    <w:uiPriority w:val="99"/>
    <w:qFormat/>
    <w:rsid w:val="004877E8"/>
    <w:rPr>
      <w:rFonts w:ascii="Courier" w:hAnsi="Courier"/>
      <w:sz w:val="21"/>
      <w:szCs w:val="21"/>
    </w:rPr>
  </w:style>
  <w:style w:type="paragraph" w:styleId="PlainText">
    <w:name w:val="Plain Text"/>
    <w:basedOn w:val="Normal"/>
    <w:link w:val="PlainTextChar"/>
    <w:uiPriority w:val="99"/>
    <w:unhideWhenUsed/>
    <w:qFormat/>
    <w:rsid w:val="004877E8"/>
    <w:pPr>
      <w:suppressAutoHyphens/>
      <w:spacing w:after="0" w:line="240" w:lineRule="auto"/>
    </w:pPr>
    <w:rPr>
      <w:rFonts w:ascii="Courier" w:hAnsi="Courier"/>
      <w:sz w:val="21"/>
      <w:szCs w:val="21"/>
    </w:rPr>
  </w:style>
  <w:style w:type="character" w:customStyle="1" w:styleId="PlainTextChar1">
    <w:name w:val="Plain Text Char1"/>
    <w:basedOn w:val="DefaultParagraphFont"/>
    <w:uiPriority w:val="99"/>
    <w:semiHidden/>
    <w:rsid w:val="004877E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120788">
      <w:bodyDiv w:val="1"/>
      <w:marLeft w:val="0"/>
      <w:marRight w:val="0"/>
      <w:marTop w:val="0"/>
      <w:marBottom w:val="0"/>
      <w:divBdr>
        <w:top w:val="none" w:sz="0" w:space="0" w:color="auto"/>
        <w:left w:val="none" w:sz="0" w:space="0" w:color="auto"/>
        <w:bottom w:val="none" w:sz="0" w:space="0" w:color="auto"/>
        <w:right w:val="none" w:sz="0" w:space="0" w:color="auto"/>
      </w:divBdr>
      <w:divsChild>
        <w:div w:id="64227590">
          <w:marLeft w:val="0"/>
          <w:marRight w:val="0"/>
          <w:marTop w:val="0"/>
          <w:marBottom w:val="0"/>
          <w:divBdr>
            <w:top w:val="none" w:sz="0" w:space="0" w:color="auto"/>
            <w:left w:val="none" w:sz="0" w:space="0" w:color="auto"/>
            <w:bottom w:val="none" w:sz="0" w:space="0" w:color="auto"/>
            <w:right w:val="none" w:sz="0" w:space="0" w:color="auto"/>
          </w:divBdr>
          <w:divsChild>
            <w:div w:id="75714201">
              <w:marLeft w:val="0"/>
              <w:marRight w:val="0"/>
              <w:marTop w:val="0"/>
              <w:marBottom w:val="0"/>
              <w:divBdr>
                <w:top w:val="none" w:sz="0" w:space="0" w:color="auto"/>
                <w:left w:val="none" w:sz="0" w:space="0" w:color="auto"/>
                <w:bottom w:val="none" w:sz="0" w:space="0" w:color="auto"/>
                <w:right w:val="none" w:sz="0" w:space="0" w:color="auto"/>
              </w:divBdr>
              <w:divsChild>
                <w:div w:id="350113527">
                  <w:marLeft w:val="0"/>
                  <w:marRight w:val="0"/>
                  <w:marTop w:val="0"/>
                  <w:marBottom w:val="0"/>
                  <w:divBdr>
                    <w:top w:val="none" w:sz="0" w:space="0" w:color="auto"/>
                    <w:left w:val="none" w:sz="0" w:space="0" w:color="auto"/>
                    <w:bottom w:val="none" w:sz="0" w:space="0" w:color="auto"/>
                    <w:right w:val="none" w:sz="0" w:space="0" w:color="auto"/>
                  </w:divBdr>
                  <w:divsChild>
                    <w:div w:id="4630811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22363142">
              <w:marLeft w:val="0"/>
              <w:marRight w:val="0"/>
              <w:marTop w:val="0"/>
              <w:marBottom w:val="0"/>
              <w:divBdr>
                <w:top w:val="none" w:sz="0" w:space="0" w:color="auto"/>
                <w:left w:val="none" w:sz="0" w:space="0" w:color="auto"/>
                <w:bottom w:val="none" w:sz="0" w:space="0" w:color="auto"/>
                <w:right w:val="none" w:sz="0" w:space="0" w:color="auto"/>
              </w:divBdr>
              <w:divsChild>
                <w:div w:id="1601600265">
                  <w:marLeft w:val="0"/>
                  <w:marRight w:val="0"/>
                  <w:marTop w:val="0"/>
                  <w:marBottom w:val="0"/>
                  <w:divBdr>
                    <w:top w:val="none" w:sz="0" w:space="0" w:color="auto"/>
                    <w:left w:val="none" w:sz="0" w:space="0" w:color="auto"/>
                    <w:bottom w:val="none" w:sz="0" w:space="0" w:color="auto"/>
                    <w:right w:val="none" w:sz="0" w:space="0" w:color="auto"/>
                  </w:divBdr>
                  <w:divsChild>
                    <w:div w:id="17851498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18511508">
          <w:marLeft w:val="0"/>
          <w:marRight w:val="0"/>
          <w:marTop w:val="0"/>
          <w:marBottom w:val="0"/>
          <w:divBdr>
            <w:top w:val="none" w:sz="0" w:space="0" w:color="auto"/>
            <w:left w:val="none" w:sz="0" w:space="0" w:color="auto"/>
            <w:bottom w:val="none" w:sz="0" w:space="0" w:color="auto"/>
            <w:right w:val="none" w:sz="0" w:space="0" w:color="auto"/>
          </w:divBdr>
          <w:divsChild>
            <w:div w:id="1136609791">
              <w:marLeft w:val="0"/>
              <w:marRight w:val="0"/>
              <w:marTop w:val="0"/>
              <w:marBottom w:val="0"/>
              <w:divBdr>
                <w:top w:val="none" w:sz="0" w:space="0" w:color="auto"/>
                <w:left w:val="none" w:sz="0" w:space="0" w:color="auto"/>
                <w:bottom w:val="none" w:sz="0" w:space="0" w:color="auto"/>
                <w:right w:val="none" w:sz="0" w:space="0" w:color="auto"/>
              </w:divBdr>
              <w:divsChild>
                <w:div w:id="11459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3337">
      <w:bodyDiv w:val="1"/>
      <w:marLeft w:val="0"/>
      <w:marRight w:val="0"/>
      <w:marTop w:val="0"/>
      <w:marBottom w:val="0"/>
      <w:divBdr>
        <w:top w:val="none" w:sz="0" w:space="0" w:color="auto"/>
        <w:left w:val="none" w:sz="0" w:space="0" w:color="auto"/>
        <w:bottom w:val="none" w:sz="0" w:space="0" w:color="auto"/>
        <w:right w:val="none" w:sz="0" w:space="0" w:color="auto"/>
      </w:divBdr>
    </w:div>
    <w:div w:id="257444860">
      <w:bodyDiv w:val="1"/>
      <w:marLeft w:val="0"/>
      <w:marRight w:val="0"/>
      <w:marTop w:val="0"/>
      <w:marBottom w:val="0"/>
      <w:divBdr>
        <w:top w:val="none" w:sz="0" w:space="0" w:color="auto"/>
        <w:left w:val="none" w:sz="0" w:space="0" w:color="auto"/>
        <w:bottom w:val="none" w:sz="0" w:space="0" w:color="auto"/>
        <w:right w:val="none" w:sz="0" w:space="0" w:color="auto"/>
      </w:divBdr>
    </w:div>
    <w:div w:id="599752551">
      <w:bodyDiv w:val="1"/>
      <w:marLeft w:val="0"/>
      <w:marRight w:val="0"/>
      <w:marTop w:val="0"/>
      <w:marBottom w:val="0"/>
      <w:divBdr>
        <w:top w:val="none" w:sz="0" w:space="0" w:color="auto"/>
        <w:left w:val="none" w:sz="0" w:space="0" w:color="auto"/>
        <w:bottom w:val="none" w:sz="0" w:space="0" w:color="auto"/>
        <w:right w:val="none" w:sz="0" w:space="0" w:color="auto"/>
      </w:divBdr>
    </w:div>
    <w:div w:id="636035525">
      <w:bodyDiv w:val="1"/>
      <w:marLeft w:val="0"/>
      <w:marRight w:val="0"/>
      <w:marTop w:val="0"/>
      <w:marBottom w:val="0"/>
      <w:divBdr>
        <w:top w:val="none" w:sz="0" w:space="0" w:color="auto"/>
        <w:left w:val="none" w:sz="0" w:space="0" w:color="auto"/>
        <w:bottom w:val="none" w:sz="0" w:space="0" w:color="auto"/>
        <w:right w:val="none" w:sz="0" w:space="0" w:color="auto"/>
      </w:divBdr>
    </w:div>
    <w:div w:id="1095786877">
      <w:bodyDiv w:val="1"/>
      <w:marLeft w:val="0"/>
      <w:marRight w:val="0"/>
      <w:marTop w:val="0"/>
      <w:marBottom w:val="0"/>
      <w:divBdr>
        <w:top w:val="none" w:sz="0" w:space="0" w:color="auto"/>
        <w:left w:val="none" w:sz="0" w:space="0" w:color="auto"/>
        <w:bottom w:val="none" w:sz="0" w:space="0" w:color="auto"/>
        <w:right w:val="none" w:sz="0" w:space="0" w:color="auto"/>
      </w:divBdr>
    </w:div>
    <w:div w:id="1115446762">
      <w:bodyDiv w:val="1"/>
      <w:marLeft w:val="0"/>
      <w:marRight w:val="0"/>
      <w:marTop w:val="0"/>
      <w:marBottom w:val="0"/>
      <w:divBdr>
        <w:top w:val="none" w:sz="0" w:space="0" w:color="auto"/>
        <w:left w:val="none" w:sz="0" w:space="0" w:color="auto"/>
        <w:bottom w:val="none" w:sz="0" w:space="0" w:color="auto"/>
        <w:right w:val="none" w:sz="0" w:space="0" w:color="auto"/>
      </w:divBdr>
    </w:div>
    <w:div w:id="1127502411">
      <w:bodyDiv w:val="1"/>
      <w:marLeft w:val="0"/>
      <w:marRight w:val="0"/>
      <w:marTop w:val="0"/>
      <w:marBottom w:val="0"/>
      <w:divBdr>
        <w:top w:val="none" w:sz="0" w:space="0" w:color="auto"/>
        <w:left w:val="none" w:sz="0" w:space="0" w:color="auto"/>
        <w:bottom w:val="none" w:sz="0" w:space="0" w:color="auto"/>
        <w:right w:val="none" w:sz="0" w:space="0" w:color="auto"/>
      </w:divBdr>
    </w:div>
    <w:div w:id="1153136972">
      <w:bodyDiv w:val="1"/>
      <w:marLeft w:val="0"/>
      <w:marRight w:val="0"/>
      <w:marTop w:val="0"/>
      <w:marBottom w:val="0"/>
      <w:divBdr>
        <w:top w:val="none" w:sz="0" w:space="0" w:color="auto"/>
        <w:left w:val="none" w:sz="0" w:space="0" w:color="auto"/>
        <w:bottom w:val="none" w:sz="0" w:space="0" w:color="auto"/>
        <w:right w:val="none" w:sz="0" w:space="0" w:color="auto"/>
      </w:divBdr>
    </w:div>
    <w:div w:id="1171413238">
      <w:bodyDiv w:val="1"/>
      <w:marLeft w:val="0"/>
      <w:marRight w:val="0"/>
      <w:marTop w:val="0"/>
      <w:marBottom w:val="0"/>
      <w:divBdr>
        <w:top w:val="none" w:sz="0" w:space="0" w:color="auto"/>
        <w:left w:val="none" w:sz="0" w:space="0" w:color="auto"/>
        <w:bottom w:val="none" w:sz="0" w:space="0" w:color="auto"/>
        <w:right w:val="none" w:sz="0" w:space="0" w:color="auto"/>
      </w:divBdr>
    </w:div>
    <w:div w:id="1198930404">
      <w:bodyDiv w:val="1"/>
      <w:marLeft w:val="0"/>
      <w:marRight w:val="0"/>
      <w:marTop w:val="0"/>
      <w:marBottom w:val="0"/>
      <w:divBdr>
        <w:top w:val="none" w:sz="0" w:space="0" w:color="auto"/>
        <w:left w:val="none" w:sz="0" w:space="0" w:color="auto"/>
        <w:bottom w:val="none" w:sz="0" w:space="0" w:color="auto"/>
        <w:right w:val="none" w:sz="0" w:space="0" w:color="auto"/>
      </w:divBdr>
    </w:div>
    <w:div w:id="1387492524">
      <w:bodyDiv w:val="1"/>
      <w:marLeft w:val="0"/>
      <w:marRight w:val="0"/>
      <w:marTop w:val="0"/>
      <w:marBottom w:val="0"/>
      <w:divBdr>
        <w:top w:val="none" w:sz="0" w:space="0" w:color="auto"/>
        <w:left w:val="none" w:sz="0" w:space="0" w:color="auto"/>
        <w:bottom w:val="none" w:sz="0" w:space="0" w:color="auto"/>
        <w:right w:val="none" w:sz="0" w:space="0" w:color="auto"/>
      </w:divBdr>
    </w:div>
    <w:div w:id="1621372786">
      <w:bodyDiv w:val="1"/>
      <w:marLeft w:val="0"/>
      <w:marRight w:val="0"/>
      <w:marTop w:val="0"/>
      <w:marBottom w:val="0"/>
      <w:divBdr>
        <w:top w:val="none" w:sz="0" w:space="0" w:color="auto"/>
        <w:left w:val="none" w:sz="0" w:space="0" w:color="auto"/>
        <w:bottom w:val="none" w:sz="0" w:space="0" w:color="auto"/>
        <w:right w:val="none" w:sz="0" w:space="0" w:color="auto"/>
      </w:divBdr>
      <w:divsChild>
        <w:div w:id="2101179292">
          <w:marLeft w:val="0"/>
          <w:marRight w:val="0"/>
          <w:marTop w:val="0"/>
          <w:marBottom w:val="0"/>
          <w:divBdr>
            <w:top w:val="none" w:sz="0" w:space="0" w:color="auto"/>
            <w:left w:val="none" w:sz="0" w:space="0" w:color="auto"/>
            <w:bottom w:val="none" w:sz="0" w:space="0" w:color="auto"/>
            <w:right w:val="none" w:sz="0" w:space="0" w:color="auto"/>
          </w:divBdr>
          <w:divsChild>
            <w:div w:id="48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47772">
      <w:bodyDiv w:val="1"/>
      <w:marLeft w:val="0"/>
      <w:marRight w:val="0"/>
      <w:marTop w:val="0"/>
      <w:marBottom w:val="0"/>
      <w:divBdr>
        <w:top w:val="none" w:sz="0" w:space="0" w:color="auto"/>
        <w:left w:val="none" w:sz="0" w:space="0" w:color="auto"/>
        <w:bottom w:val="none" w:sz="0" w:space="0" w:color="auto"/>
        <w:right w:val="none" w:sz="0" w:space="0" w:color="auto"/>
      </w:divBdr>
      <w:divsChild>
        <w:div w:id="132908724">
          <w:marLeft w:val="0"/>
          <w:marRight w:val="0"/>
          <w:marTop w:val="0"/>
          <w:marBottom w:val="330"/>
          <w:divBdr>
            <w:top w:val="none" w:sz="0" w:space="0" w:color="auto"/>
            <w:left w:val="none" w:sz="0" w:space="0" w:color="auto"/>
            <w:bottom w:val="none" w:sz="0" w:space="0" w:color="auto"/>
            <w:right w:val="none" w:sz="0" w:space="0" w:color="auto"/>
          </w:divBdr>
        </w:div>
        <w:div w:id="885991186">
          <w:marLeft w:val="0"/>
          <w:marRight w:val="0"/>
          <w:marTop w:val="0"/>
          <w:marBottom w:val="0"/>
          <w:divBdr>
            <w:top w:val="none" w:sz="0" w:space="0" w:color="auto"/>
            <w:left w:val="none" w:sz="0" w:space="0" w:color="auto"/>
            <w:bottom w:val="none" w:sz="0" w:space="0" w:color="auto"/>
            <w:right w:val="none" w:sz="0" w:space="0" w:color="auto"/>
          </w:divBdr>
        </w:div>
      </w:divsChild>
    </w:div>
    <w:div w:id="1815877669">
      <w:bodyDiv w:val="1"/>
      <w:marLeft w:val="0"/>
      <w:marRight w:val="0"/>
      <w:marTop w:val="0"/>
      <w:marBottom w:val="0"/>
      <w:divBdr>
        <w:top w:val="none" w:sz="0" w:space="0" w:color="auto"/>
        <w:left w:val="none" w:sz="0" w:space="0" w:color="auto"/>
        <w:bottom w:val="none" w:sz="0" w:space="0" w:color="auto"/>
        <w:right w:val="none" w:sz="0" w:space="0" w:color="auto"/>
      </w:divBdr>
      <w:divsChild>
        <w:div w:id="341863476">
          <w:marLeft w:val="0"/>
          <w:marRight w:val="0"/>
          <w:marTop w:val="0"/>
          <w:marBottom w:val="330"/>
          <w:divBdr>
            <w:top w:val="none" w:sz="0" w:space="0" w:color="auto"/>
            <w:left w:val="none" w:sz="0" w:space="0" w:color="auto"/>
            <w:bottom w:val="none" w:sz="0" w:space="0" w:color="auto"/>
            <w:right w:val="none" w:sz="0" w:space="0" w:color="auto"/>
          </w:divBdr>
        </w:div>
        <w:div w:id="933395494">
          <w:marLeft w:val="0"/>
          <w:marRight w:val="0"/>
          <w:marTop w:val="0"/>
          <w:marBottom w:val="0"/>
          <w:divBdr>
            <w:top w:val="none" w:sz="0" w:space="0" w:color="auto"/>
            <w:left w:val="none" w:sz="0" w:space="0" w:color="auto"/>
            <w:bottom w:val="none" w:sz="0" w:space="0" w:color="auto"/>
            <w:right w:val="none" w:sz="0" w:space="0" w:color="auto"/>
          </w:divBdr>
        </w:div>
      </w:divsChild>
    </w:div>
    <w:div w:id="1819570100">
      <w:bodyDiv w:val="1"/>
      <w:marLeft w:val="0"/>
      <w:marRight w:val="0"/>
      <w:marTop w:val="0"/>
      <w:marBottom w:val="0"/>
      <w:divBdr>
        <w:top w:val="none" w:sz="0" w:space="0" w:color="auto"/>
        <w:left w:val="none" w:sz="0" w:space="0" w:color="auto"/>
        <w:bottom w:val="none" w:sz="0" w:space="0" w:color="auto"/>
        <w:right w:val="none" w:sz="0" w:space="0" w:color="auto"/>
      </w:divBdr>
      <w:divsChild>
        <w:div w:id="2097508496">
          <w:marLeft w:val="0"/>
          <w:marRight w:val="0"/>
          <w:marTop w:val="0"/>
          <w:marBottom w:val="0"/>
          <w:divBdr>
            <w:top w:val="none" w:sz="0" w:space="0" w:color="auto"/>
            <w:left w:val="none" w:sz="0" w:space="0" w:color="auto"/>
            <w:bottom w:val="none" w:sz="0" w:space="0" w:color="auto"/>
            <w:right w:val="none" w:sz="0" w:space="0" w:color="auto"/>
          </w:divBdr>
        </w:div>
        <w:div w:id="1983850515">
          <w:marLeft w:val="0"/>
          <w:marRight w:val="0"/>
          <w:marTop w:val="0"/>
          <w:marBottom w:val="0"/>
          <w:divBdr>
            <w:top w:val="none" w:sz="0" w:space="0" w:color="auto"/>
            <w:left w:val="none" w:sz="0" w:space="0" w:color="auto"/>
            <w:bottom w:val="none" w:sz="0" w:space="0" w:color="auto"/>
            <w:right w:val="none" w:sz="0" w:space="0" w:color="auto"/>
          </w:divBdr>
        </w:div>
        <w:div w:id="2038970128">
          <w:marLeft w:val="0"/>
          <w:marRight w:val="0"/>
          <w:marTop w:val="0"/>
          <w:marBottom w:val="0"/>
          <w:divBdr>
            <w:top w:val="none" w:sz="0" w:space="0" w:color="auto"/>
            <w:left w:val="none" w:sz="0" w:space="0" w:color="auto"/>
            <w:bottom w:val="none" w:sz="0" w:space="0" w:color="auto"/>
            <w:right w:val="none" w:sz="0" w:space="0" w:color="auto"/>
          </w:divBdr>
        </w:div>
      </w:divsChild>
    </w:div>
    <w:div w:id="1894659102">
      <w:bodyDiv w:val="1"/>
      <w:marLeft w:val="0"/>
      <w:marRight w:val="0"/>
      <w:marTop w:val="0"/>
      <w:marBottom w:val="0"/>
      <w:divBdr>
        <w:top w:val="none" w:sz="0" w:space="0" w:color="auto"/>
        <w:left w:val="none" w:sz="0" w:space="0" w:color="auto"/>
        <w:bottom w:val="none" w:sz="0" w:space="0" w:color="auto"/>
        <w:right w:val="none" w:sz="0" w:space="0" w:color="auto"/>
      </w:divBdr>
      <w:divsChild>
        <w:div w:id="1171406265">
          <w:marLeft w:val="0"/>
          <w:marRight w:val="0"/>
          <w:marTop w:val="0"/>
          <w:marBottom w:val="0"/>
          <w:divBdr>
            <w:top w:val="none" w:sz="0" w:space="0" w:color="auto"/>
            <w:left w:val="none" w:sz="0" w:space="0" w:color="auto"/>
            <w:bottom w:val="none" w:sz="0" w:space="0" w:color="auto"/>
            <w:right w:val="none" w:sz="0" w:space="0" w:color="auto"/>
          </w:divBdr>
        </w:div>
        <w:div w:id="33967779">
          <w:marLeft w:val="0"/>
          <w:marRight w:val="0"/>
          <w:marTop w:val="0"/>
          <w:marBottom w:val="0"/>
          <w:divBdr>
            <w:top w:val="none" w:sz="0" w:space="0" w:color="auto"/>
            <w:left w:val="none" w:sz="0" w:space="0" w:color="auto"/>
            <w:bottom w:val="none" w:sz="0" w:space="0" w:color="auto"/>
            <w:right w:val="none" w:sz="0" w:space="0" w:color="auto"/>
          </w:divBdr>
        </w:div>
        <w:div w:id="1436949225">
          <w:marLeft w:val="0"/>
          <w:marRight w:val="0"/>
          <w:marTop w:val="0"/>
          <w:marBottom w:val="0"/>
          <w:divBdr>
            <w:top w:val="none" w:sz="0" w:space="0" w:color="auto"/>
            <w:left w:val="none" w:sz="0" w:space="0" w:color="auto"/>
            <w:bottom w:val="none" w:sz="0" w:space="0" w:color="auto"/>
            <w:right w:val="none" w:sz="0" w:space="0" w:color="auto"/>
          </w:divBdr>
        </w:div>
        <w:div w:id="1965651502">
          <w:marLeft w:val="0"/>
          <w:marRight w:val="0"/>
          <w:marTop w:val="0"/>
          <w:marBottom w:val="0"/>
          <w:divBdr>
            <w:top w:val="none" w:sz="0" w:space="0" w:color="auto"/>
            <w:left w:val="none" w:sz="0" w:space="0" w:color="auto"/>
            <w:bottom w:val="none" w:sz="0" w:space="0" w:color="auto"/>
            <w:right w:val="none" w:sz="0" w:space="0" w:color="auto"/>
          </w:divBdr>
        </w:div>
        <w:div w:id="2064451290">
          <w:marLeft w:val="0"/>
          <w:marRight w:val="0"/>
          <w:marTop w:val="0"/>
          <w:marBottom w:val="0"/>
          <w:divBdr>
            <w:top w:val="none" w:sz="0" w:space="0" w:color="auto"/>
            <w:left w:val="none" w:sz="0" w:space="0" w:color="auto"/>
            <w:bottom w:val="none" w:sz="0" w:space="0" w:color="auto"/>
            <w:right w:val="none" w:sz="0" w:space="0" w:color="auto"/>
          </w:divBdr>
        </w:div>
        <w:div w:id="1800537745">
          <w:marLeft w:val="0"/>
          <w:marRight w:val="0"/>
          <w:marTop w:val="0"/>
          <w:marBottom w:val="0"/>
          <w:divBdr>
            <w:top w:val="none" w:sz="0" w:space="0" w:color="auto"/>
            <w:left w:val="none" w:sz="0" w:space="0" w:color="auto"/>
            <w:bottom w:val="none" w:sz="0" w:space="0" w:color="auto"/>
            <w:right w:val="none" w:sz="0" w:space="0" w:color="auto"/>
          </w:divBdr>
        </w:div>
      </w:divsChild>
    </w:div>
    <w:div w:id="2043167553">
      <w:bodyDiv w:val="1"/>
      <w:marLeft w:val="0"/>
      <w:marRight w:val="0"/>
      <w:marTop w:val="0"/>
      <w:marBottom w:val="0"/>
      <w:divBdr>
        <w:top w:val="none" w:sz="0" w:space="0" w:color="auto"/>
        <w:left w:val="none" w:sz="0" w:space="0" w:color="auto"/>
        <w:bottom w:val="none" w:sz="0" w:space="0" w:color="auto"/>
        <w:right w:val="none" w:sz="0" w:space="0" w:color="auto"/>
      </w:divBdr>
      <w:divsChild>
        <w:div w:id="192973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7881-4C29-4C23-9FA7-D6736DC7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6584</Words>
  <Characters>37533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CynthiaHorne</dc:creator>
  <cp:lastModifiedBy>CynthiaHorne</cp:lastModifiedBy>
  <cp:revision>4</cp:revision>
  <cp:lastPrinted>2017-01-18T16:57:00Z</cp:lastPrinted>
  <dcterms:created xsi:type="dcterms:W3CDTF">2017-06-25T16:55:00Z</dcterms:created>
  <dcterms:modified xsi:type="dcterms:W3CDTF">2017-07-31T21:37:00Z</dcterms:modified>
</cp:coreProperties>
</file>