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CA" w:rsidRDefault="00CF52CA" w:rsidP="00CF52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3</w:t>
      </w:r>
    </w:p>
    <w:p w:rsidR="00CF52CA" w:rsidRDefault="00CF52CA" w:rsidP="00CF52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EVALUATING MEASURES AND THEIR OUTCOMES</w:t>
      </w:r>
    </w:p>
    <w:p w:rsidR="00CF52CA" w:rsidRPr="00D352DC" w:rsidRDefault="00CF52CA" w:rsidP="00CF52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CYNTHIA M. HORNE</w:t>
      </w:r>
    </w:p>
    <w:p w:rsidR="002044DC" w:rsidRPr="00D43794" w:rsidRDefault="002044DC" w:rsidP="002044DC">
      <w:pPr>
        <w:spacing w:after="0"/>
        <w:rPr>
          <w:rFonts w:ascii="Times New Roman" w:hAnsi="Times New Roman" w:cs="Times New Roman"/>
          <w:b/>
          <w:sz w:val="24"/>
          <w:szCs w:val="24"/>
        </w:rPr>
      </w:pPr>
      <w:r w:rsidRPr="00D43794">
        <w:rPr>
          <w:rFonts w:ascii="Times New Roman" w:hAnsi="Times New Roman" w:cs="Times New Roman"/>
          <w:b/>
          <w:color w:val="212121"/>
          <w:sz w:val="24"/>
          <w:szCs w:val="24"/>
          <w:shd w:val="clear" w:color="auto" w:fill="FFFFFF"/>
        </w:rPr>
        <w:t xml:space="preserve">Forthcoming in </w:t>
      </w:r>
      <w:proofErr w:type="spellStart"/>
      <w:r w:rsidRPr="00D43794">
        <w:rPr>
          <w:rFonts w:ascii="Times New Roman" w:hAnsi="Times New Roman" w:cs="Times New Roman"/>
          <w:b/>
          <w:color w:val="212121"/>
          <w:sz w:val="24"/>
          <w:szCs w:val="24"/>
          <w:shd w:val="clear" w:color="auto" w:fill="FFFFFF"/>
        </w:rPr>
        <w:t>Lavinia</w:t>
      </w:r>
      <w:proofErr w:type="spellEnd"/>
      <w:r w:rsidRPr="00D43794">
        <w:rPr>
          <w:rFonts w:ascii="Times New Roman" w:hAnsi="Times New Roman" w:cs="Times New Roman"/>
          <w:b/>
          <w:color w:val="212121"/>
          <w:sz w:val="24"/>
          <w:szCs w:val="24"/>
          <w:shd w:val="clear" w:color="auto" w:fill="FFFFFF"/>
        </w:rPr>
        <w:t xml:space="preserve"> Stan and Lucian </w:t>
      </w:r>
      <w:proofErr w:type="spellStart"/>
      <w:r w:rsidRPr="00D43794">
        <w:rPr>
          <w:rFonts w:ascii="Times New Roman" w:hAnsi="Times New Roman" w:cs="Times New Roman"/>
          <w:b/>
          <w:color w:val="212121"/>
          <w:sz w:val="24"/>
          <w:szCs w:val="24"/>
          <w:shd w:val="clear" w:color="auto" w:fill="FFFFFF"/>
        </w:rPr>
        <w:t>Turcesc</w:t>
      </w:r>
      <w:proofErr w:type="spellEnd"/>
      <w:r w:rsidRPr="00D43794">
        <w:rPr>
          <w:rFonts w:ascii="Times New Roman" w:hAnsi="Times New Roman" w:cs="Times New Roman"/>
          <w:b/>
          <w:color w:val="212121"/>
          <w:sz w:val="24"/>
          <w:szCs w:val="24"/>
          <w:shd w:val="clear" w:color="auto" w:fill="FFFFFF"/>
        </w:rPr>
        <w:t xml:space="preserve">, eds. JUSTICE, MEMORY AND REDRESS: NEW INSIGHTS FROM ROMANIA. </w:t>
      </w:r>
      <w:r>
        <w:rPr>
          <w:rFonts w:ascii="Times New Roman" w:hAnsi="Times New Roman" w:cs="Times New Roman"/>
          <w:b/>
          <w:color w:val="212121"/>
          <w:sz w:val="24"/>
          <w:szCs w:val="24"/>
          <w:shd w:val="clear" w:color="auto" w:fill="FFFFFF"/>
        </w:rPr>
        <w:t xml:space="preserve"> </w:t>
      </w:r>
      <w:proofErr w:type="gramStart"/>
      <w:r w:rsidRPr="00D43794">
        <w:rPr>
          <w:rFonts w:ascii="Times New Roman" w:hAnsi="Times New Roman" w:cs="Times New Roman"/>
          <w:b/>
          <w:color w:val="212121"/>
          <w:sz w:val="24"/>
          <w:szCs w:val="24"/>
          <w:shd w:val="clear" w:color="auto" w:fill="FFFFFF"/>
        </w:rPr>
        <w:t>Cambridge Scholars.</w:t>
      </w:r>
      <w:proofErr w:type="gramEnd"/>
    </w:p>
    <w:p w:rsidR="002044DC" w:rsidRDefault="002044DC" w:rsidP="00CF52CA">
      <w:pPr>
        <w:spacing w:after="0" w:line="480" w:lineRule="auto"/>
        <w:ind w:firstLine="720"/>
        <w:rPr>
          <w:rFonts w:ascii="Times New Roman" w:hAnsi="Times New Roman" w:cs="Times New Roman"/>
          <w:sz w:val="24"/>
          <w:szCs w:val="24"/>
        </w:rPr>
      </w:pPr>
    </w:p>
    <w:p w:rsidR="00CF52CA" w:rsidRDefault="00CF52CA" w:rsidP="00CF52CA">
      <w:pPr>
        <w:spacing w:after="0" w:line="480" w:lineRule="auto"/>
        <w:ind w:firstLine="720"/>
        <w:rPr>
          <w:rFonts w:ascii="Times New Roman" w:hAnsi="Times New Roman" w:cs="Times New Roman"/>
          <w:sz w:val="24"/>
          <w:szCs w:val="24"/>
        </w:rPr>
      </w:pPr>
      <w:r w:rsidRPr="00D352DC">
        <w:rPr>
          <w:rFonts w:ascii="Times New Roman" w:hAnsi="Times New Roman" w:cs="Times New Roman"/>
          <w:sz w:val="24"/>
          <w:szCs w:val="24"/>
        </w:rPr>
        <w:t xml:space="preserve">Romania’s efforts to </w:t>
      </w:r>
      <w:r>
        <w:rPr>
          <w:rFonts w:ascii="Times New Roman" w:hAnsi="Times New Roman" w:cs="Times New Roman"/>
          <w:sz w:val="24"/>
          <w:szCs w:val="24"/>
        </w:rPr>
        <w:t xml:space="preserve">confront </w:t>
      </w:r>
      <w:r w:rsidRPr="00D352DC">
        <w:rPr>
          <w:rFonts w:ascii="Times New Roman" w:hAnsi="Times New Roman" w:cs="Times New Roman"/>
          <w:sz w:val="24"/>
          <w:szCs w:val="24"/>
        </w:rPr>
        <w:t xml:space="preserve">its </w:t>
      </w:r>
      <w:r>
        <w:rPr>
          <w:rFonts w:ascii="Times New Roman" w:hAnsi="Times New Roman" w:cs="Times New Roman"/>
          <w:sz w:val="24"/>
          <w:szCs w:val="24"/>
        </w:rPr>
        <w:t xml:space="preserve">communist </w:t>
      </w:r>
      <w:r w:rsidRPr="00D352DC">
        <w:rPr>
          <w:rFonts w:ascii="Times New Roman" w:hAnsi="Times New Roman" w:cs="Times New Roman"/>
          <w:sz w:val="24"/>
          <w:szCs w:val="24"/>
        </w:rPr>
        <w:t xml:space="preserve">past </w:t>
      </w:r>
      <w:r>
        <w:rPr>
          <w:rFonts w:ascii="Times New Roman" w:hAnsi="Times New Roman" w:cs="Times New Roman"/>
          <w:sz w:val="24"/>
          <w:szCs w:val="24"/>
        </w:rPr>
        <w:t xml:space="preserve">using transitional justice measures </w:t>
      </w:r>
      <w:r w:rsidRPr="00D352DC">
        <w:rPr>
          <w:rFonts w:ascii="Times New Roman" w:hAnsi="Times New Roman" w:cs="Times New Roman"/>
          <w:sz w:val="24"/>
          <w:szCs w:val="24"/>
        </w:rPr>
        <w:t>have often been highly politicized, thwarted by entrenched interests, overridden by various political actors, including the President and the Constitutional Court, and circumvente</w:t>
      </w:r>
      <w:r w:rsidRPr="00357351">
        <w:rPr>
          <w:rFonts w:ascii="Times New Roman" w:hAnsi="Times New Roman" w:cs="Times New Roman"/>
          <w:sz w:val="24"/>
          <w:szCs w:val="24"/>
        </w:rPr>
        <w:t xml:space="preserve">d by former members of the communist </w:t>
      </w:r>
      <w:r w:rsidRPr="00AB2C60">
        <w:rPr>
          <w:rFonts w:ascii="Times New Roman" w:hAnsi="Times New Roman" w:cs="Times New Roman"/>
          <w:sz w:val="24"/>
          <w:szCs w:val="24"/>
        </w:rPr>
        <w:t>political elite.</w:t>
      </w:r>
      <w:r w:rsidRPr="00AB2C60">
        <w:rPr>
          <w:rStyle w:val="FootnoteReference"/>
          <w:rFonts w:ascii="Times New Roman" w:hAnsi="Times New Roman" w:cs="Times New Roman"/>
          <w:sz w:val="24"/>
          <w:szCs w:val="24"/>
        </w:rPr>
        <w:footnoteReference w:id="1"/>
      </w:r>
      <w:r w:rsidRPr="00AB2C60">
        <w:rPr>
          <w:rFonts w:ascii="Times New Roman" w:hAnsi="Times New Roman" w:cs="Times New Roman"/>
          <w:sz w:val="24"/>
          <w:szCs w:val="24"/>
        </w:rPr>
        <w:t xml:space="preserve"> In this chapter, the term transitional justice describes a broad set of measures by which society confronts the wrongdoings in its past with the goal of obtaining some combination of truth, justice, rule of law, and durable peace for the future.</w:t>
      </w:r>
      <w:r w:rsidRPr="00AB2C60">
        <w:rPr>
          <w:rStyle w:val="FootnoteReference"/>
          <w:rFonts w:ascii="Times New Roman" w:hAnsi="Times New Roman" w:cs="Times New Roman"/>
          <w:sz w:val="24"/>
          <w:szCs w:val="24"/>
        </w:rPr>
        <w:footnoteReference w:id="2"/>
      </w:r>
      <w:r w:rsidRPr="00AB2C60">
        <w:rPr>
          <w:rFonts w:ascii="Times New Roman" w:hAnsi="Times New Roman" w:cs="Times New Roman"/>
          <w:sz w:val="24"/>
          <w:szCs w:val="24"/>
        </w:rPr>
        <w:t xml:space="preserve"> Even with such a broad definition, if a consensus exists, it might agree that Romania missed many opportunities to authentically engage with possibly beneficial</w:t>
      </w:r>
      <w:r>
        <w:rPr>
          <w:rFonts w:ascii="Times New Roman" w:hAnsi="Times New Roman" w:cs="Times New Roman"/>
          <w:sz w:val="24"/>
          <w:szCs w:val="24"/>
        </w:rPr>
        <w:t xml:space="preserve"> measures</w:t>
      </w:r>
      <w:r w:rsidRPr="00EC1526">
        <w:rPr>
          <w:rFonts w:ascii="Arial" w:hAnsi="Arial" w:cs="Arial"/>
        </w:rPr>
        <w:t xml:space="preserve">. </w:t>
      </w:r>
      <w:r>
        <w:rPr>
          <w:rFonts w:ascii="Times New Roman" w:hAnsi="Times New Roman" w:cs="Times New Roman"/>
          <w:sz w:val="24"/>
          <w:szCs w:val="24"/>
        </w:rPr>
        <w:t xml:space="preserve">Taking as a starting point the well documented problems with Romania’s transitional justice efforts, this chapter is motivated by two questions: first, how did Romania’s transitional justice measures compare to other regionally proximate post-communist cases, and second, </w:t>
      </w:r>
      <w:r w:rsidRPr="00D352DC">
        <w:rPr>
          <w:rFonts w:ascii="Times New Roman" w:hAnsi="Times New Roman" w:cs="Times New Roman"/>
          <w:sz w:val="24"/>
          <w:szCs w:val="24"/>
        </w:rPr>
        <w:t xml:space="preserve">have Romania’s (extremely) flawed efforts to address the past </w:t>
      </w:r>
      <w:r>
        <w:rPr>
          <w:rFonts w:ascii="Times New Roman" w:hAnsi="Times New Roman" w:cs="Times New Roman"/>
          <w:sz w:val="24"/>
          <w:szCs w:val="24"/>
        </w:rPr>
        <w:t>produced any positive results? To address these questions, the chapter focuses on the</w:t>
      </w:r>
      <w:r w:rsidRPr="00D352DC">
        <w:rPr>
          <w:rFonts w:ascii="Times New Roman" w:hAnsi="Times New Roman" w:cs="Times New Roman"/>
          <w:sz w:val="24"/>
          <w:szCs w:val="24"/>
        </w:rPr>
        <w:t xml:space="preserve"> use and misuse of lustration laws, </w:t>
      </w:r>
      <w:r>
        <w:rPr>
          <w:rFonts w:ascii="Times New Roman" w:hAnsi="Times New Roman" w:cs="Times New Roman"/>
          <w:sz w:val="24"/>
          <w:szCs w:val="24"/>
        </w:rPr>
        <w:t xml:space="preserve">secret police </w:t>
      </w:r>
      <w:r w:rsidRPr="00D352DC">
        <w:rPr>
          <w:rFonts w:ascii="Times New Roman" w:hAnsi="Times New Roman" w:cs="Times New Roman"/>
          <w:sz w:val="24"/>
          <w:szCs w:val="24"/>
        </w:rPr>
        <w:t>file access procedures, and public disclosures</w:t>
      </w:r>
      <w:r>
        <w:rPr>
          <w:rFonts w:ascii="Times New Roman" w:hAnsi="Times New Roman" w:cs="Times New Roman"/>
          <w:sz w:val="24"/>
          <w:szCs w:val="24"/>
        </w:rPr>
        <w:t xml:space="preserve"> of previous regime collaboration</w:t>
      </w:r>
      <w:r w:rsidRPr="00D352DC">
        <w:rPr>
          <w:rFonts w:ascii="Times New Roman" w:hAnsi="Times New Roman" w:cs="Times New Roman"/>
          <w:sz w:val="24"/>
          <w:szCs w:val="24"/>
        </w:rPr>
        <w:t xml:space="preserve"> as a triumvirate of related transitional justice processes.</w:t>
      </w:r>
      <w:r w:rsidRPr="00A33BB7">
        <w:rPr>
          <w:rFonts w:ascii="Times New Roman" w:hAnsi="Times New Roman" w:cs="Times New Roman"/>
          <w:sz w:val="24"/>
          <w:szCs w:val="24"/>
        </w:rPr>
        <w:t xml:space="preserve"> </w:t>
      </w:r>
      <w:r w:rsidRPr="00BE559B">
        <w:rPr>
          <w:rFonts w:ascii="Times New Roman" w:hAnsi="Times New Roman" w:cs="Times New Roman"/>
          <w:sz w:val="24"/>
          <w:szCs w:val="24"/>
        </w:rPr>
        <w:t xml:space="preserve">By </w:t>
      </w:r>
      <w:r w:rsidRPr="00922418">
        <w:rPr>
          <w:rFonts w:ascii="Times New Roman" w:hAnsi="Times New Roman" w:cs="Times New Roman"/>
          <w:sz w:val="24"/>
          <w:szCs w:val="24"/>
        </w:rPr>
        <w:t xml:space="preserve">lustration measures, I mean specialized forms of employment screening, which </w:t>
      </w:r>
      <w:r w:rsidRPr="00922418">
        <w:rPr>
          <w:rFonts w:ascii="Times New Roman" w:hAnsi="Times New Roman" w:cs="Times New Roman"/>
          <w:sz w:val="24"/>
          <w:szCs w:val="24"/>
        </w:rPr>
        <w:lastRenderedPageBreak/>
        <w:t>could include the “banning of communist officials and secret political police officers and informers from post-communist politics and positions of influence in society” and/or the naming of individuals without formal employment removal penalties.</w:t>
      </w:r>
      <w:r w:rsidRPr="00922418">
        <w:rPr>
          <w:rStyle w:val="FootnoteReference"/>
          <w:rFonts w:ascii="Times New Roman" w:hAnsi="Times New Roman" w:cs="Times New Roman"/>
          <w:sz w:val="24"/>
          <w:szCs w:val="24"/>
        </w:rPr>
        <w:footnoteReference w:id="3"/>
      </w:r>
      <w:r w:rsidRPr="00922418">
        <w:rPr>
          <w:rFonts w:ascii="Times New Roman" w:hAnsi="Times New Roman" w:cs="Times New Roman"/>
          <w:sz w:val="24"/>
          <w:szCs w:val="24"/>
        </w:rPr>
        <w:t xml:space="preserve"> Lustration measures, public disclosures of regime collaboration for individuals in positions of public trust, and general citizen access to information in secret police files are related transitional justice measures due to the focus on the secret police files and potential formal or informal consequences associated</w:t>
      </w:r>
      <w:r>
        <w:rPr>
          <w:rFonts w:ascii="Times New Roman" w:hAnsi="Times New Roman" w:cs="Times New Roman"/>
          <w:sz w:val="24"/>
          <w:szCs w:val="24"/>
        </w:rPr>
        <w:t xml:space="preserve"> with revelations of the past. </w:t>
      </w:r>
      <w:r w:rsidRPr="00922418">
        <w:rPr>
          <w:rFonts w:ascii="Times New Roman" w:hAnsi="Times New Roman" w:cs="Times New Roman"/>
          <w:sz w:val="24"/>
          <w:szCs w:val="24"/>
        </w:rPr>
        <w:t>Since these measures are allegedly used to support transition goals like</w:t>
      </w:r>
      <w:r w:rsidRPr="00BE559B">
        <w:rPr>
          <w:rFonts w:ascii="Times New Roman" w:hAnsi="Times New Roman" w:cs="Times New Roman"/>
          <w:sz w:val="24"/>
          <w:szCs w:val="24"/>
        </w:rPr>
        <w:t xml:space="preserve"> building trust in public institutions, promoting democracy and curbing corruption, this chapter also examines Romania’s progress in meeting some of these s</w:t>
      </w:r>
      <w:r w:rsidRPr="00D352DC">
        <w:rPr>
          <w:rFonts w:ascii="Times New Roman" w:hAnsi="Times New Roman" w:cs="Times New Roman"/>
          <w:sz w:val="24"/>
          <w:szCs w:val="24"/>
        </w:rPr>
        <w:t>tated goals</w:t>
      </w:r>
      <w:r>
        <w:rPr>
          <w:rFonts w:ascii="Times New Roman" w:hAnsi="Times New Roman" w:cs="Times New Roman"/>
          <w:sz w:val="24"/>
          <w:szCs w:val="24"/>
        </w:rPr>
        <w:t xml:space="preserve"> over the past 25 years.</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chapter takes a comparative perspective on Romania’s transitional justice measures and transition outcomes. If one were to look only at Romania, it would be relatively easy to point out all the ways Romania deviated from a transitional justice ideal. In order to contextualize Romania’s experience, it needs to be considered with respect to what has actually been achieved in other comparable post-communist cases. However, the transitional justice comparison must be appropriate if it is to be illustrative. Comparing Romania to a transition trajectory</w:t>
      </w:r>
      <w:r w:rsidRPr="00516214">
        <w:rPr>
          <w:rFonts w:ascii="Times New Roman" w:hAnsi="Times New Roman" w:cs="Times New Roman"/>
          <w:sz w:val="24"/>
          <w:szCs w:val="24"/>
        </w:rPr>
        <w:t xml:space="preserve"> </w:t>
      </w:r>
      <w:r>
        <w:rPr>
          <w:rFonts w:ascii="Times New Roman" w:hAnsi="Times New Roman" w:cs="Times New Roman"/>
          <w:sz w:val="24"/>
          <w:szCs w:val="24"/>
        </w:rPr>
        <w:t>which was not a viable possibility in 1989, like the Czech Republic’s, will yield few valuable insights.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To that end, first this chapter</w:t>
      </w:r>
      <w:r w:rsidRPr="00D352DC">
        <w:rPr>
          <w:rFonts w:ascii="Times New Roman" w:hAnsi="Times New Roman" w:cs="Times New Roman"/>
          <w:sz w:val="24"/>
          <w:szCs w:val="24"/>
        </w:rPr>
        <w:t xml:space="preserve"> reviews the measures passed and implemented in </w:t>
      </w:r>
      <w:r>
        <w:rPr>
          <w:rFonts w:ascii="Times New Roman" w:hAnsi="Times New Roman" w:cs="Times New Roman"/>
          <w:sz w:val="24"/>
          <w:szCs w:val="24"/>
        </w:rPr>
        <w:t>Romania in comparison with the other</w:t>
      </w:r>
      <w:r w:rsidRPr="00D352DC">
        <w:rPr>
          <w:rFonts w:ascii="Times New Roman" w:hAnsi="Times New Roman" w:cs="Times New Roman"/>
          <w:sz w:val="24"/>
          <w:szCs w:val="24"/>
        </w:rPr>
        <w:t xml:space="preserve"> </w:t>
      </w:r>
      <w:r>
        <w:rPr>
          <w:rFonts w:ascii="Times New Roman" w:hAnsi="Times New Roman" w:cs="Times New Roman"/>
          <w:sz w:val="24"/>
          <w:szCs w:val="24"/>
        </w:rPr>
        <w:t xml:space="preserve">Balkan </w:t>
      </w:r>
      <w:r w:rsidRPr="00D352DC">
        <w:rPr>
          <w:rFonts w:ascii="Times New Roman" w:hAnsi="Times New Roman" w:cs="Times New Roman"/>
          <w:sz w:val="24"/>
          <w:szCs w:val="24"/>
        </w:rPr>
        <w:t>countries</w:t>
      </w:r>
      <w:r>
        <w:rPr>
          <w:rFonts w:ascii="Times New Roman" w:hAnsi="Times New Roman" w:cs="Times New Roman"/>
          <w:sz w:val="24"/>
          <w:szCs w:val="24"/>
        </w:rPr>
        <w:t xml:space="preserve"> that were considered regionally comparable in 1989, namely Bulgaria and Albania. The comparison </w:t>
      </w:r>
      <w:r w:rsidRPr="00D352DC">
        <w:rPr>
          <w:rFonts w:ascii="Times New Roman" w:hAnsi="Times New Roman" w:cs="Times New Roman"/>
          <w:sz w:val="24"/>
          <w:szCs w:val="24"/>
        </w:rPr>
        <w:t>spotlight</w:t>
      </w:r>
      <w:r>
        <w:rPr>
          <w:rFonts w:ascii="Times New Roman" w:hAnsi="Times New Roman" w:cs="Times New Roman"/>
          <w:sz w:val="24"/>
          <w:szCs w:val="24"/>
        </w:rPr>
        <w:t>s</w:t>
      </w:r>
      <w:r w:rsidRPr="00D352DC">
        <w:rPr>
          <w:rFonts w:ascii="Times New Roman" w:hAnsi="Times New Roman" w:cs="Times New Roman"/>
          <w:sz w:val="24"/>
          <w:szCs w:val="24"/>
        </w:rPr>
        <w:t xml:space="preserve"> </w:t>
      </w:r>
      <w:r>
        <w:rPr>
          <w:rFonts w:ascii="Times New Roman" w:hAnsi="Times New Roman" w:cs="Times New Roman"/>
          <w:sz w:val="24"/>
          <w:szCs w:val="24"/>
        </w:rPr>
        <w:t>the implementation of measures, the timing of measures, and the politicization of measures</w:t>
      </w:r>
      <w:r w:rsidRPr="00D352DC">
        <w:rPr>
          <w:rFonts w:ascii="Times New Roman" w:hAnsi="Times New Roman" w:cs="Times New Roman"/>
          <w:sz w:val="24"/>
          <w:szCs w:val="24"/>
        </w:rPr>
        <w:t xml:space="preserve">. </w:t>
      </w:r>
      <w:r>
        <w:rPr>
          <w:rFonts w:ascii="Times New Roman" w:hAnsi="Times New Roman" w:cs="Times New Roman"/>
          <w:sz w:val="24"/>
          <w:szCs w:val="24"/>
        </w:rPr>
        <w:t xml:space="preserve">Second, this chapter </w:t>
      </w:r>
      <w:r w:rsidRPr="00D352DC">
        <w:rPr>
          <w:rFonts w:ascii="Times New Roman" w:hAnsi="Times New Roman" w:cs="Times New Roman"/>
          <w:sz w:val="24"/>
          <w:szCs w:val="24"/>
        </w:rPr>
        <w:t>e</w:t>
      </w:r>
      <w:r>
        <w:rPr>
          <w:rFonts w:ascii="Times New Roman" w:hAnsi="Times New Roman" w:cs="Times New Roman"/>
          <w:sz w:val="24"/>
          <w:szCs w:val="24"/>
        </w:rPr>
        <w:t xml:space="preserve">xamines three transition goals linked to transitional justice measures, namely the building of trustworthy public institutions, </w:t>
      </w:r>
      <w:r>
        <w:rPr>
          <w:rFonts w:ascii="Times New Roman" w:hAnsi="Times New Roman" w:cs="Times New Roman"/>
          <w:sz w:val="24"/>
          <w:szCs w:val="24"/>
        </w:rPr>
        <w:lastRenderedPageBreak/>
        <w:t>support for democracy, and anti-corruption progress across several post-communist countries. Romania’s performance on these three outcomes will be considered with respect to the Balkan experience as well as cases considered to have had more effective lustration and transitional justice programs, like Poland and Hungary. To preview the findings, Romania finds itself stuck in the middle—the middle of regional reforms and the middle of regional progress. The conclusion speaks to what the presence or absence of transitional justice measures in Romania says about its larger post-communist transition.</w:t>
      </w:r>
    </w:p>
    <w:p w:rsidR="00CF52CA" w:rsidRPr="00922418" w:rsidRDefault="00CF52CA" w:rsidP="00CF52CA">
      <w:pPr>
        <w:spacing w:after="0" w:line="480" w:lineRule="auto"/>
        <w:rPr>
          <w:rFonts w:ascii="Times New Roman" w:hAnsi="Times New Roman" w:cs="Times New Roman"/>
          <w:sz w:val="24"/>
          <w:szCs w:val="24"/>
        </w:rPr>
      </w:pPr>
    </w:p>
    <w:p w:rsidR="00CF52CA" w:rsidRPr="008A59C9" w:rsidRDefault="00CF52CA" w:rsidP="00CF52C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Transitional justice m</w:t>
      </w:r>
      <w:r w:rsidRPr="00D352DC">
        <w:rPr>
          <w:rFonts w:ascii="Times New Roman" w:hAnsi="Times New Roman" w:cs="Times New Roman"/>
          <w:b/>
          <w:sz w:val="24"/>
          <w:szCs w:val="24"/>
        </w:rPr>
        <w:t>easures</w:t>
      </w:r>
    </w:p>
    <w:p w:rsidR="00CF52CA" w:rsidRPr="003A4065" w:rsidRDefault="00CF52CA" w:rsidP="00CF52CA">
      <w:pPr>
        <w:spacing w:after="0" w:line="480" w:lineRule="auto"/>
        <w:jc w:val="both"/>
        <w:rPr>
          <w:rFonts w:ascii="Times New Roman" w:hAnsi="Times New Roman" w:cs="Times New Roman"/>
          <w:b/>
          <w:i/>
          <w:sz w:val="24"/>
          <w:szCs w:val="24"/>
        </w:rPr>
      </w:pPr>
      <w:r w:rsidRPr="003A4065">
        <w:rPr>
          <w:rFonts w:ascii="Times New Roman" w:hAnsi="Times New Roman" w:cs="Times New Roman"/>
          <w:b/>
          <w:i/>
          <w:sz w:val="24"/>
          <w:szCs w:val="24"/>
        </w:rPr>
        <w:t xml:space="preserve">Timing </w:t>
      </w:r>
      <w:r>
        <w:rPr>
          <w:rFonts w:ascii="Times New Roman" w:hAnsi="Times New Roman" w:cs="Times New Roman"/>
          <w:b/>
          <w:i/>
          <w:sz w:val="24"/>
          <w:szCs w:val="24"/>
        </w:rPr>
        <w:t>and i</w:t>
      </w:r>
      <w:r w:rsidRPr="003A4065">
        <w:rPr>
          <w:rFonts w:ascii="Times New Roman" w:hAnsi="Times New Roman" w:cs="Times New Roman"/>
          <w:b/>
          <w:i/>
          <w:sz w:val="24"/>
          <w:szCs w:val="24"/>
        </w:rPr>
        <w:t xml:space="preserve">mplementation </w:t>
      </w:r>
    </w:p>
    <w:p w:rsidR="00CF52CA" w:rsidRDefault="00CF52CA" w:rsidP="00CF52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Balkans countries are considered regional laggards in terms of transitional justice, but measures were both proposed and adopted in the region early in the transition. This section considers the timing, passage and implementation of measures in the Balkans as a way to draw parallels between Romania and its neighbors. The focus is not only on measures that were passed, but also on measures that were passed over or failed to be implemented. Albania and Bulgaria passed lustration-style laws before Romania, and therefore their efforts will be considered before Romania’s in keeping with temporal considerations of the range of possible and concurrent measures available to Romania in the immediate transition environment. Table 3.1 lays out the measures in the three countries for ease of comparison.</w:t>
      </w:r>
    </w:p>
    <w:p w:rsidR="00CF52CA" w:rsidRPr="007F30E9" w:rsidRDefault="00CF52CA" w:rsidP="00CF52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3.1 HERE</w:t>
      </w:r>
      <w:r>
        <w:rPr>
          <w:rFonts w:ascii="Times New Roman" w:hAnsi="Times New Roman" w:cs="Times New Roman"/>
          <w:color w:val="000000"/>
          <w:sz w:val="24"/>
          <w:szCs w:val="24"/>
        </w:rPr>
        <w:t xml:space="preserve"> </w:t>
      </w:r>
    </w:p>
    <w:p w:rsidR="00CF52CA" w:rsidRPr="0024275F" w:rsidRDefault="00CF52CA" w:rsidP="00CF52CA">
      <w:pPr>
        <w:spacing w:after="0" w:line="480" w:lineRule="auto"/>
        <w:ind w:firstLine="720"/>
        <w:jc w:val="both"/>
        <w:rPr>
          <w:rFonts w:ascii="Times New Roman" w:hAnsi="Times New Roman" w:cs="Times New Roman"/>
          <w:sz w:val="24"/>
          <w:szCs w:val="24"/>
        </w:rPr>
      </w:pPr>
      <w:r w:rsidRPr="00D352DC">
        <w:rPr>
          <w:rFonts w:ascii="Times New Roman" w:hAnsi="Times New Roman" w:cs="Times New Roman"/>
          <w:sz w:val="24"/>
          <w:szCs w:val="24"/>
        </w:rPr>
        <w:t>Albania purged its public sectors in 1992, replacing an estimated 250,000 bureaucrats with party loyalists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D352DC">
        <w:rPr>
          <w:rFonts w:ascii="Times New Roman" w:hAnsi="Times New Roman" w:cs="Times New Roman"/>
          <w:sz w:val="24"/>
          <w:szCs w:val="24"/>
        </w:rPr>
        <w:t xml:space="preserve"> </w:t>
      </w:r>
      <w:r>
        <w:rPr>
          <w:rFonts w:ascii="Times New Roman" w:hAnsi="Times New Roman" w:cs="Times New Roman"/>
          <w:sz w:val="24"/>
          <w:szCs w:val="24"/>
        </w:rPr>
        <w:t>The</w:t>
      </w:r>
      <w:r w:rsidRPr="00D352DC">
        <w:rPr>
          <w:rFonts w:ascii="Times New Roman" w:hAnsi="Times New Roman" w:cs="Times New Roman"/>
          <w:sz w:val="24"/>
          <w:szCs w:val="24"/>
        </w:rPr>
        <w:t xml:space="preserve"> non-transparent </w:t>
      </w:r>
      <w:r>
        <w:rPr>
          <w:rFonts w:ascii="Times New Roman" w:hAnsi="Times New Roman" w:cs="Times New Roman"/>
          <w:sz w:val="24"/>
          <w:szCs w:val="24"/>
        </w:rPr>
        <w:t>forced</w:t>
      </w:r>
      <w:r w:rsidRPr="00D352DC">
        <w:rPr>
          <w:rFonts w:ascii="Times New Roman" w:hAnsi="Times New Roman" w:cs="Times New Roman"/>
          <w:sz w:val="24"/>
          <w:szCs w:val="24"/>
        </w:rPr>
        <w:t xml:space="preserve"> </w:t>
      </w:r>
      <w:r>
        <w:rPr>
          <w:rFonts w:ascii="Times New Roman" w:hAnsi="Times New Roman" w:cs="Times New Roman"/>
          <w:sz w:val="24"/>
          <w:szCs w:val="24"/>
        </w:rPr>
        <w:t>personnel change</w:t>
      </w:r>
      <w:r w:rsidRPr="00D352DC">
        <w:rPr>
          <w:rFonts w:ascii="Times New Roman" w:hAnsi="Times New Roman" w:cs="Times New Roman"/>
          <w:sz w:val="24"/>
          <w:szCs w:val="24"/>
        </w:rPr>
        <w:t xml:space="preserve"> </w:t>
      </w:r>
      <w:r>
        <w:rPr>
          <w:rFonts w:ascii="Times New Roman" w:hAnsi="Times New Roman" w:cs="Times New Roman"/>
          <w:sz w:val="24"/>
          <w:szCs w:val="24"/>
        </w:rPr>
        <w:t xml:space="preserve">constituted a purge, not a </w:t>
      </w:r>
      <w:r>
        <w:rPr>
          <w:rFonts w:ascii="Times New Roman" w:hAnsi="Times New Roman" w:cs="Times New Roman"/>
          <w:sz w:val="24"/>
          <w:szCs w:val="24"/>
        </w:rPr>
        <w:lastRenderedPageBreak/>
        <w:t>transitional justice act, and affected</w:t>
      </w:r>
      <w:r w:rsidRPr="00D352DC">
        <w:rPr>
          <w:rFonts w:ascii="Times New Roman" w:hAnsi="Times New Roman" w:cs="Times New Roman"/>
          <w:sz w:val="24"/>
          <w:szCs w:val="24"/>
        </w:rPr>
        <w:t xml:space="preserve"> subsequent interest in other </w:t>
      </w:r>
      <w:r>
        <w:rPr>
          <w:rFonts w:ascii="Times New Roman" w:hAnsi="Times New Roman" w:cs="Times New Roman"/>
          <w:sz w:val="24"/>
          <w:szCs w:val="24"/>
        </w:rPr>
        <w:t xml:space="preserve">more legally constrained </w:t>
      </w:r>
      <w:r w:rsidRPr="00D352DC">
        <w:rPr>
          <w:rFonts w:ascii="Times New Roman" w:hAnsi="Times New Roman" w:cs="Times New Roman"/>
          <w:sz w:val="24"/>
          <w:szCs w:val="24"/>
        </w:rPr>
        <w:t xml:space="preserve">bureaucratic change measures. The </w:t>
      </w:r>
      <w:r>
        <w:rPr>
          <w:rFonts w:ascii="Times New Roman" w:hAnsi="Times New Roman" w:cs="Times New Roman"/>
          <w:sz w:val="24"/>
          <w:szCs w:val="24"/>
        </w:rPr>
        <w:t xml:space="preserve">1991 </w:t>
      </w:r>
      <w:r w:rsidRPr="00CF4CE2">
        <w:rPr>
          <w:rFonts w:ascii="Times New Roman" w:hAnsi="Times New Roman" w:cs="Times New Roman"/>
          <w:sz w:val="24"/>
          <w:szCs w:val="24"/>
        </w:rPr>
        <w:t xml:space="preserve">Law </w:t>
      </w:r>
      <w:r w:rsidRPr="00CF4CE2">
        <w:rPr>
          <w:rFonts w:ascii="Times New Roman" w:eastAsia="Calibri" w:hAnsi="Times New Roman" w:cs="Times New Roman"/>
          <w:bCs/>
          <w:sz w:val="24"/>
          <w:szCs w:val="24"/>
        </w:rPr>
        <w:t xml:space="preserve">On Advocacy </w:t>
      </w:r>
      <w:r>
        <w:rPr>
          <w:rFonts w:ascii="Times New Roman" w:eastAsia="Calibri" w:hAnsi="Times New Roman" w:cs="Times New Roman"/>
          <w:bCs/>
          <w:sz w:val="24"/>
          <w:szCs w:val="24"/>
        </w:rPr>
        <w:t>and its 1993 amendment</w:t>
      </w:r>
      <w:r w:rsidRPr="00126CE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(Law 7666) </w:t>
      </w:r>
      <w:r w:rsidRPr="00126CE0">
        <w:rPr>
          <w:rFonts w:ascii="Times New Roman" w:eastAsia="Calibri" w:hAnsi="Times New Roman" w:cs="Times New Roman"/>
          <w:bCs/>
          <w:sz w:val="24"/>
          <w:szCs w:val="24"/>
        </w:rPr>
        <w:t>constituted</w:t>
      </w:r>
      <w:r>
        <w:rPr>
          <w:rFonts w:ascii="Times New Roman" w:eastAsia="Calibri" w:hAnsi="Times New Roman" w:cs="Times New Roman"/>
          <w:bCs/>
          <w:sz w:val="24"/>
          <w:szCs w:val="24"/>
        </w:rPr>
        <w:t xml:space="preserve"> a type of lustration measure, but it </w:t>
      </w:r>
      <w:r w:rsidRPr="00D352DC">
        <w:rPr>
          <w:rFonts w:ascii="Times New Roman" w:eastAsia="Calibri" w:hAnsi="Times New Roman" w:cs="Times New Roman"/>
          <w:bCs/>
          <w:sz w:val="24"/>
          <w:szCs w:val="24"/>
        </w:rPr>
        <w:t xml:space="preserve">narrowly targeted lawyers, preventing </w:t>
      </w:r>
      <w:r w:rsidRPr="00D352DC">
        <w:rPr>
          <w:rFonts w:ascii="Times New Roman" w:hAnsi="Times New Roman" w:cs="Times New Roman"/>
          <w:sz w:val="24"/>
          <w:szCs w:val="24"/>
        </w:rPr>
        <w:t>certain categories of collaborators or officers with the State Security agency</w:t>
      </w:r>
      <w:r>
        <w:rPr>
          <w:rFonts w:ascii="Times New Roman" w:hAnsi="Times New Roman" w:cs="Times New Roman"/>
          <w:sz w:val="24"/>
          <w:szCs w:val="24"/>
        </w:rPr>
        <w:t>,</w:t>
      </w:r>
      <w:r w:rsidRPr="00D352DC">
        <w:rPr>
          <w:rFonts w:ascii="Times New Roman" w:hAnsi="Times New Roman" w:cs="Times New Roman"/>
          <w:sz w:val="24"/>
          <w:szCs w:val="24"/>
        </w:rPr>
        <w:t xml:space="preserve"> </w:t>
      </w:r>
      <w:r>
        <w:rPr>
          <w:rFonts w:ascii="Times New Roman" w:hAnsi="Times New Roman" w:cs="Times New Roman"/>
          <w:sz w:val="24"/>
          <w:szCs w:val="24"/>
        </w:rPr>
        <w:t>and</w:t>
      </w:r>
      <w:r w:rsidRPr="00D352DC">
        <w:rPr>
          <w:rFonts w:ascii="Times New Roman" w:hAnsi="Times New Roman" w:cs="Times New Roman"/>
          <w:sz w:val="24"/>
          <w:szCs w:val="24"/>
        </w:rPr>
        <w:t xml:space="preserve"> members of the Albania Labor Party (the Communist Party)</w:t>
      </w:r>
      <w:r>
        <w:rPr>
          <w:rFonts w:ascii="Times New Roman" w:hAnsi="Times New Roman" w:cs="Times New Roman"/>
          <w:sz w:val="24"/>
          <w:szCs w:val="24"/>
        </w:rPr>
        <w:t>,</w:t>
      </w:r>
      <w:r w:rsidRPr="00D352DC">
        <w:rPr>
          <w:rFonts w:ascii="Times New Roman" w:hAnsi="Times New Roman" w:cs="Times New Roman"/>
          <w:sz w:val="24"/>
          <w:szCs w:val="24"/>
        </w:rPr>
        <w:t xml:space="preserve"> from legal work for a period of five years. The Const</w:t>
      </w:r>
      <w:r>
        <w:rPr>
          <w:rFonts w:ascii="Times New Roman" w:hAnsi="Times New Roman" w:cs="Times New Roman"/>
          <w:sz w:val="24"/>
          <w:szCs w:val="24"/>
        </w:rPr>
        <w:t>itutional Court struck down this</w:t>
      </w:r>
      <w:r w:rsidRPr="00D352DC">
        <w:rPr>
          <w:rFonts w:ascii="Times New Roman" w:hAnsi="Times New Roman" w:cs="Times New Roman"/>
          <w:sz w:val="24"/>
          <w:szCs w:val="24"/>
        </w:rPr>
        <w:t xml:space="preserve"> limited lustration law</w:t>
      </w:r>
      <w:r>
        <w:rPr>
          <w:rFonts w:ascii="Times New Roman" w:hAnsi="Times New Roman" w:cs="Times New Roman"/>
          <w:sz w:val="24"/>
          <w:szCs w:val="24"/>
        </w:rPr>
        <w:t>,</w:t>
      </w:r>
      <w:r w:rsidRPr="00D352DC">
        <w:rPr>
          <w:rFonts w:ascii="Times New Roman" w:hAnsi="Times New Roman" w:cs="Times New Roman"/>
          <w:sz w:val="24"/>
          <w:szCs w:val="24"/>
        </w:rPr>
        <w:t xml:space="preserve"> resulting in no implementation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Of note </w:t>
      </w:r>
      <w:r w:rsidRPr="00D352DC">
        <w:rPr>
          <w:rFonts w:ascii="Times New Roman" w:hAnsi="Times New Roman" w:cs="Times New Roman"/>
          <w:sz w:val="24"/>
          <w:szCs w:val="24"/>
        </w:rPr>
        <w:t xml:space="preserve">is the extremely narrow </w:t>
      </w:r>
      <w:r>
        <w:rPr>
          <w:rFonts w:ascii="Times New Roman" w:hAnsi="Times New Roman" w:cs="Times New Roman"/>
          <w:sz w:val="24"/>
          <w:szCs w:val="24"/>
        </w:rPr>
        <w:t>scope</w:t>
      </w:r>
      <w:r w:rsidRPr="00D352DC">
        <w:rPr>
          <w:rFonts w:ascii="Times New Roman" w:hAnsi="Times New Roman" w:cs="Times New Roman"/>
          <w:sz w:val="24"/>
          <w:szCs w:val="24"/>
        </w:rPr>
        <w:t xml:space="preserve"> of the measures—</w:t>
      </w:r>
      <w:r>
        <w:rPr>
          <w:rFonts w:ascii="Times New Roman" w:hAnsi="Times New Roman" w:cs="Times New Roman"/>
          <w:sz w:val="24"/>
          <w:szCs w:val="24"/>
        </w:rPr>
        <w:t xml:space="preserve">lawyers—which would have resulted in a </w:t>
      </w:r>
      <w:r w:rsidRPr="00D352DC">
        <w:rPr>
          <w:rFonts w:ascii="Times New Roman" w:hAnsi="Times New Roman" w:cs="Times New Roman"/>
          <w:sz w:val="24"/>
          <w:szCs w:val="24"/>
        </w:rPr>
        <w:t>nominal</w:t>
      </w:r>
      <w:r>
        <w:rPr>
          <w:rFonts w:ascii="Times New Roman" w:hAnsi="Times New Roman" w:cs="Times New Roman"/>
          <w:sz w:val="24"/>
          <w:szCs w:val="24"/>
        </w:rPr>
        <w:t>, limited</w:t>
      </w:r>
      <w:r w:rsidRPr="00D352DC">
        <w:rPr>
          <w:rFonts w:ascii="Times New Roman" w:hAnsi="Times New Roman" w:cs="Times New Roman"/>
          <w:sz w:val="24"/>
          <w:szCs w:val="24"/>
        </w:rPr>
        <w:t xml:space="preserve"> lustration effort at best. </w:t>
      </w:r>
      <w:r>
        <w:rPr>
          <w:rFonts w:ascii="Times New Roman" w:hAnsi="Times New Roman" w:cs="Times New Roman"/>
          <w:sz w:val="24"/>
          <w:szCs w:val="24"/>
        </w:rPr>
        <w:t>T</w:t>
      </w:r>
      <w:r w:rsidRPr="00D352DC">
        <w:rPr>
          <w:rFonts w:ascii="Times New Roman" w:hAnsi="Times New Roman" w:cs="Times New Roman"/>
          <w:sz w:val="24"/>
          <w:szCs w:val="24"/>
        </w:rPr>
        <w:t>he Genocide Law</w:t>
      </w:r>
      <w:r>
        <w:rPr>
          <w:rFonts w:ascii="Times New Roman" w:hAnsi="Times New Roman" w:cs="Times New Roman"/>
          <w:sz w:val="24"/>
          <w:szCs w:val="24"/>
        </w:rPr>
        <w:t xml:space="preserve"> 8001/1995</w:t>
      </w:r>
      <w:r w:rsidRPr="00D352DC">
        <w:rPr>
          <w:rFonts w:ascii="Times New Roman" w:hAnsi="Times New Roman" w:cs="Times New Roman"/>
          <w:i/>
          <w:sz w:val="24"/>
          <w:szCs w:val="24"/>
        </w:rPr>
        <w:t xml:space="preserve"> </w:t>
      </w:r>
      <w:r>
        <w:rPr>
          <w:rFonts w:ascii="Times New Roman" w:hAnsi="Times New Roman" w:cs="Times New Roman"/>
          <w:sz w:val="24"/>
          <w:szCs w:val="24"/>
        </w:rPr>
        <w:t>and t</w:t>
      </w:r>
      <w:r w:rsidRPr="00D352DC">
        <w:rPr>
          <w:rFonts w:ascii="Times New Roman" w:hAnsi="Times New Roman" w:cs="Times New Roman"/>
          <w:sz w:val="24"/>
          <w:szCs w:val="24"/>
        </w:rPr>
        <w:t>he Verification Law</w:t>
      </w:r>
      <w:r>
        <w:rPr>
          <w:rFonts w:ascii="Times New Roman" w:hAnsi="Times New Roman" w:cs="Times New Roman"/>
          <w:sz w:val="24"/>
          <w:szCs w:val="24"/>
        </w:rPr>
        <w:t xml:space="preserve"> 8043/1995</w:t>
      </w:r>
      <w:r w:rsidRPr="00D352DC">
        <w:rPr>
          <w:rFonts w:ascii="Times New Roman" w:hAnsi="Times New Roman" w:cs="Times New Roman"/>
          <w:sz w:val="24"/>
          <w:szCs w:val="24"/>
        </w:rPr>
        <w:t xml:space="preserve"> were wider in scope, providing screening provisions across a range of government positions, the educational system, and the media. </w:t>
      </w:r>
      <w:r>
        <w:rPr>
          <w:rFonts w:ascii="Times New Roman" w:hAnsi="Times New Roman" w:cs="Times New Roman"/>
          <w:sz w:val="24"/>
          <w:szCs w:val="24"/>
        </w:rPr>
        <w:t>T</w:t>
      </w:r>
      <w:r w:rsidRPr="00D352DC">
        <w:rPr>
          <w:rFonts w:ascii="Times New Roman" w:hAnsi="Times New Roman" w:cs="Times New Roman"/>
          <w:sz w:val="24"/>
          <w:szCs w:val="24"/>
        </w:rPr>
        <w:t xml:space="preserve">he Verification Committee </w:t>
      </w:r>
      <w:r>
        <w:rPr>
          <w:rFonts w:ascii="Times New Roman" w:hAnsi="Times New Roman" w:cs="Times New Roman"/>
          <w:sz w:val="24"/>
          <w:szCs w:val="24"/>
        </w:rPr>
        <w:t xml:space="preserve">created to implement the measures </w:t>
      </w:r>
      <w:r w:rsidRPr="00D352DC">
        <w:rPr>
          <w:rFonts w:ascii="Times New Roman" w:hAnsi="Times New Roman" w:cs="Times New Roman"/>
          <w:sz w:val="24"/>
          <w:szCs w:val="24"/>
        </w:rPr>
        <w:t>immediately barred 139 people from participating in elections</w:t>
      </w:r>
      <w:r>
        <w:rPr>
          <w:rFonts w:ascii="Times New Roman" w:hAnsi="Times New Roman" w:cs="Times New Roman"/>
          <w:sz w:val="24"/>
          <w:szCs w:val="24"/>
        </w:rPr>
        <w:t>. However</w:t>
      </w:r>
      <w:r w:rsidRPr="00D352DC">
        <w:rPr>
          <w:rFonts w:ascii="Times New Roman" w:hAnsi="Times New Roman" w:cs="Times New Roman"/>
          <w:sz w:val="24"/>
          <w:szCs w:val="24"/>
        </w:rPr>
        <w:t>, the Committee was largely made up of Democratic Party members</w:t>
      </w:r>
      <w:r>
        <w:rPr>
          <w:rFonts w:ascii="Times New Roman" w:hAnsi="Times New Roman" w:cs="Times New Roman"/>
          <w:sz w:val="24"/>
          <w:szCs w:val="24"/>
        </w:rPr>
        <w:t>, whereas</w:t>
      </w:r>
      <w:r w:rsidRPr="00D352DC">
        <w:rPr>
          <w:rFonts w:ascii="Times New Roman" w:hAnsi="Times New Roman" w:cs="Times New Roman"/>
          <w:sz w:val="24"/>
          <w:szCs w:val="24"/>
        </w:rPr>
        <w:t xml:space="preserve"> those barred were from opposition parties, thus rendering lustration a tool of political </w:t>
      </w:r>
      <w:r>
        <w:rPr>
          <w:rFonts w:ascii="Times New Roman" w:hAnsi="Times New Roman" w:cs="Times New Roman"/>
          <w:sz w:val="24"/>
          <w:szCs w:val="24"/>
        </w:rPr>
        <w:t>vendetta</w:t>
      </w:r>
      <w:r w:rsidRPr="00D352DC">
        <w:rPr>
          <w:rFonts w:ascii="Times New Roman" w:hAnsi="Times New Roman" w:cs="Times New Roman"/>
          <w:sz w:val="24"/>
          <w:szCs w:val="24"/>
        </w:rPr>
        <w:t xml:space="preserve"> against opposition parties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D352DC">
        <w:rPr>
          <w:rFonts w:ascii="Times New Roman" w:hAnsi="Times New Roman" w:cs="Times New Roman"/>
          <w:sz w:val="24"/>
          <w:szCs w:val="24"/>
        </w:rPr>
        <w:t xml:space="preserve"> In 1997</w:t>
      </w:r>
      <w:r>
        <w:rPr>
          <w:rFonts w:ascii="Times New Roman" w:hAnsi="Times New Roman" w:cs="Times New Roman"/>
          <w:sz w:val="24"/>
          <w:szCs w:val="24"/>
        </w:rPr>
        <w:t>,</w:t>
      </w:r>
      <w:r w:rsidRPr="00D352DC">
        <w:rPr>
          <w:rFonts w:ascii="Times New Roman" w:hAnsi="Times New Roman" w:cs="Times New Roman"/>
          <w:sz w:val="24"/>
          <w:szCs w:val="24"/>
        </w:rPr>
        <w:t xml:space="preserve"> the Socialist Party came to power after a scandal involving the Democratic Party, and they reduced the scope of the Verification Law. The Genocide Law was</w:t>
      </w:r>
      <w:r>
        <w:rPr>
          <w:rFonts w:ascii="Times New Roman" w:hAnsi="Times New Roman" w:cs="Times New Roman"/>
          <w:sz w:val="24"/>
          <w:szCs w:val="24"/>
        </w:rPr>
        <w:t xml:space="preserve"> also</w:t>
      </w:r>
      <w:r w:rsidRPr="00D352DC">
        <w:rPr>
          <w:rFonts w:ascii="Times New Roman" w:hAnsi="Times New Roman" w:cs="Times New Roman"/>
          <w:sz w:val="24"/>
          <w:szCs w:val="24"/>
        </w:rPr>
        <w:t xml:space="preserve"> rolled back</w:t>
      </w:r>
      <w:r>
        <w:rPr>
          <w:rFonts w:ascii="Times New Roman" w:hAnsi="Times New Roman" w:cs="Times New Roman"/>
          <w:sz w:val="24"/>
          <w:szCs w:val="24"/>
        </w:rPr>
        <w:t>,</w:t>
      </w:r>
      <w:r w:rsidRPr="00D352DC">
        <w:rPr>
          <w:rFonts w:ascii="Times New Roman" w:hAnsi="Times New Roman" w:cs="Times New Roman"/>
          <w:sz w:val="24"/>
          <w:szCs w:val="24"/>
        </w:rPr>
        <w:t xml:space="preserve"> and the Supreme Cou</w:t>
      </w:r>
      <w:r>
        <w:rPr>
          <w:rFonts w:ascii="Times New Roman" w:hAnsi="Times New Roman" w:cs="Times New Roman"/>
          <w:sz w:val="24"/>
          <w:szCs w:val="24"/>
        </w:rPr>
        <w:t>rt acquitted all those accused.</w:t>
      </w:r>
      <w:r w:rsidRPr="00D352DC">
        <w:rPr>
          <w:rFonts w:ascii="Times New Roman" w:hAnsi="Times New Roman" w:cs="Times New Roman"/>
          <w:sz w:val="24"/>
          <w:szCs w:val="24"/>
        </w:rPr>
        <w:t xml:space="preserve"> </w:t>
      </w:r>
      <w:r>
        <w:rPr>
          <w:rFonts w:ascii="Times New Roman" w:hAnsi="Times New Roman" w:cs="Times New Roman"/>
          <w:sz w:val="24"/>
          <w:szCs w:val="24"/>
        </w:rPr>
        <w:t>D</w:t>
      </w:r>
      <w:r w:rsidRPr="00D352DC">
        <w:rPr>
          <w:rFonts w:ascii="Times New Roman" w:hAnsi="Times New Roman" w:cs="Times New Roman"/>
          <w:sz w:val="24"/>
          <w:szCs w:val="24"/>
        </w:rPr>
        <w:t xml:space="preserve">espite </w:t>
      </w:r>
      <w:r>
        <w:rPr>
          <w:rFonts w:ascii="Times New Roman" w:hAnsi="Times New Roman" w:cs="Times New Roman"/>
          <w:sz w:val="24"/>
          <w:szCs w:val="24"/>
        </w:rPr>
        <w:t>several</w:t>
      </w:r>
      <w:r w:rsidRPr="00D352DC">
        <w:rPr>
          <w:rFonts w:ascii="Times New Roman" w:hAnsi="Times New Roman" w:cs="Times New Roman"/>
          <w:sz w:val="24"/>
          <w:szCs w:val="24"/>
        </w:rPr>
        <w:t xml:space="preserve"> lustration laws, there was little implementation in practice</w:t>
      </w:r>
      <w:r>
        <w:rPr>
          <w:rFonts w:ascii="Times New Roman" w:hAnsi="Times New Roman" w:cs="Times New Roman"/>
          <w:sz w:val="24"/>
          <w:szCs w:val="24"/>
        </w:rPr>
        <w:t>,</w:t>
      </w:r>
      <w:r w:rsidRPr="00D352DC">
        <w:rPr>
          <w:rFonts w:ascii="Times New Roman" w:hAnsi="Times New Roman" w:cs="Times New Roman"/>
          <w:sz w:val="24"/>
          <w:szCs w:val="24"/>
        </w:rPr>
        <w:t xml:space="preserve"> and </w:t>
      </w:r>
      <w:r>
        <w:rPr>
          <w:rFonts w:ascii="Times New Roman" w:hAnsi="Times New Roman" w:cs="Times New Roman"/>
          <w:sz w:val="24"/>
          <w:szCs w:val="24"/>
        </w:rPr>
        <w:t>the Verification and the Genocide Laws</w:t>
      </w:r>
      <w:r w:rsidRPr="00D352DC">
        <w:rPr>
          <w:rFonts w:ascii="Times New Roman" w:hAnsi="Times New Roman" w:cs="Times New Roman"/>
          <w:sz w:val="24"/>
          <w:szCs w:val="24"/>
        </w:rPr>
        <w:t xml:space="preserve"> expired in 2001.</w:t>
      </w:r>
      <w:r>
        <w:rPr>
          <w:rStyle w:val="FootnoteReference"/>
          <w:rFonts w:ascii="Times New Roman" w:hAnsi="Times New Roman" w:cs="Times New Roman"/>
          <w:sz w:val="24"/>
          <w:szCs w:val="24"/>
        </w:rPr>
        <w:footnoteReference w:id="8"/>
      </w:r>
      <w:r w:rsidRPr="00D352DC">
        <w:rPr>
          <w:rFonts w:ascii="Times New Roman" w:hAnsi="Times New Roman" w:cs="Times New Roman"/>
          <w:sz w:val="24"/>
          <w:szCs w:val="24"/>
        </w:rPr>
        <w:t xml:space="preserve"> The overt political manipulation of the laws, smear campaigns against opposition parties, and informal allegations published in newspapers, combined with a lack of citizen access to the files</w:t>
      </w:r>
      <w:r>
        <w:rPr>
          <w:rFonts w:ascii="Times New Roman" w:hAnsi="Times New Roman" w:cs="Times New Roman"/>
          <w:sz w:val="24"/>
          <w:szCs w:val="24"/>
        </w:rPr>
        <w:t>,</w:t>
      </w:r>
      <w:r w:rsidRPr="00D352DC">
        <w:rPr>
          <w:rFonts w:ascii="Times New Roman" w:hAnsi="Times New Roman" w:cs="Times New Roman"/>
          <w:sz w:val="24"/>
          <w:szCs w:val="24"/>
        </w:rPr>
        <w:t xml:space="preserve"> resulted in the </w:t>
      </w:r>
      <w:proofErr w:type="spellStart"/>
      <w:r w:rsidRPr="00D352DC">
        <w:rPr>
          <w:rFonts w:ascii="Times New Roman" w:hAnsi="Times New Roman" w:cs="Times New Roman"/>
          <w:sz w:val="24"/>
          <w:szCs w:val="24"/>
        </w:rPr>
        <w:t>delegitimization</w:t>
      </w:r>
      <w:proofErr w:type="spellEnd"/>
      <w:r w:rsidRPr="00D352DC">
        <w:rPr>
          <w:rFonts w:ascii="Times New Roman" w:hAnsi="Times New Roman" w:cs="Times New Roman"/>
          <w:sz w:val="24"/>
          <w:szCs w:val="24"/>
        </w:rPr>
        <w:t xml:space="preserve"> of the measures. In 2008 a new lustration law was passed</w:t>
      </w:r>
      <w:r>
        <w:rPr>
          <w:rFonts w:ascii="Times New Roman" w:hAnsi="Times New Roman" w:cs="Times New Roman"/>
          <w:sz w:val="24"/>
          <w:szCs w:val="24"/>
        </w:rPr>
        <w:t xml:space="preserve"> popularly called The Clean Hands Bill,</w:t>
      </w:r>
      <w:r w:rsidRPr="00D352DC">
        <w:rPr>
          <w:rFonts w:ascii="Times New Roman" w:hAnsi="Times New Roman" w:cs="Times New Roman"/>
          <w:sz w:val="24"/>
          <w:szCs w:val="24"/>
        </w:rPr>
        <w:t xml:space="preserve"> but it was declared </w:t>
      </w:r>
      <w:r w:rsidRPr="00D352DC">
        <w:rPr>
          <w:rFonts w:ascii="Times New Roman" w:hAnsi="Times New Roman" w:cs="Times New Roman"/>
          <w:sz w:val="24"/>
          <w:szCs w:val="24"/>
        </w:rPr>
        <w:lastRenderedPageBreak/>
        <w:t xml:space="preserve">unconstitutional and </w:t>
      </w:r>
      <w:r>
        <w:rPr>
          <w:rFonts w:ascii="Times New Roman" w:hAnsi="Times New Roman" w:cs="Times New Roman"/>
          <w:sz w:val="24"/>
          <w:szCs w:val="24"/>
        </w:rPr>
        <w:t>annulled by the Constitutional Court</w:t>
      </w:r>
      <w:r w:rsidRPr="00D352DC">
        <w:rPr>
          <w:rFonts w:ascii="Times New Roman" w:hAnsi="Times New Roman" w:cs="Times New Roman"/>
          <w:sz w:val="24"/>
          <w:szCs w:val="24"/>
        </w:rPr>
        <w:t>, thereby foreclosing lustration in Albania.</w:t>
      </w:r>
      <w:r>
        <w:rPr>
          <w:rStyle w:val="FootnoteReference"/>
          <w:rFonts w:ascii="Times New Roman" w:hAnsi="Times New Roman" w:cs="Times New Roman"/>
          <w:sz w:val="24"/>
          <w:szCs w:val="24"/>
        </w:rPr>
        <w:footnoteReference w:id="9"/>
      </w:r>
      <w:r w:rsidRPr="00D352DC">
        <w:rPr>
          <w:rFonts w:ascii="Times New Roman" w:hAnsi="Times New Roman" w:cs="Times New Roman"/>
          <w:i/>
          <w:sz w:val="24"/>
          <w:szCs w:val="24"/>
        </w:rPr>
        <w:t xml:space="preserve"> </w:t>
      </w:r>
      <w:r>
        <w:rPr>
          <w:rFonts w:ascii="Times New Roman" w:hAnsi="Times New Roman" w:cs="Times New Roman"/>
          <w:sz w:val="24"/>
          <w:szCs w:val="24"/>
        </w:rPr>
        <w:t>Issues were raised with the objectivity of the Court’s decision, since judges and prosecutors might have been personally affected by lustration. Nevertheless, the decision stood.</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sum, Albania forced politicized bureaucratic change through the use of purges and several lustration laws, but looking at the implementation one cannot say Albania engaged in authentic transitional justice.</w:t>
      </w:r>
    </w:p>
    <w:p w:rsidR="00CF52CA" w:rsidRDefault="00CF52CA" w:rsidP="00CF52CA">
      <w:pPr>
        <w:pStyle w:val="ListParagraph"/>
        <w:spacing w:line="480" w:lineRule="auto"/>
        <w:ind w:left="0"/>
        <w:jc w:val="both"/>
      </w:pPr>
      <w:r w:rsidRPr="00D352DC">
        <w:tab/>
        <w:t xml:space="preserve">In the case of Bulgaria, the 1992 </w:t>
      </w:r>
      <w:r w:rsidRPr="00CF4CE2">
        <w:t>Law on Banks and Credit Activity</w:t>
      </w:r>
      <w:r w:rsidRPr="00D352DC">
        <w:t xml:space="preserve"> focused very narrowly on individua</w:t>
      </w:r>
      <w:r>
        <w:t>ls in bank management positions but</w:t>
      </w:r>
      <w:r w:rsidRPr="00D352DC">
        <w:t xml:space="preserve"> was declared unconstitutional in 1992, never implemented, and abolished by Parliament in 1997.</w:t>
      </w:r>
      <w:r>
        <w:rPr>
          <w:rStyle w:val="FootnoteReference"/>
        </w:rPr>
        <w:footnoteReference w:id="11"/>
      </w:r>
      <w:r>
        <w:t xml:space="preserve"> </w:t>
      </w:r>
      <w:r w:rsidRPr="00D352DC">
        <w:t>The 1992</w:t>
      </w:r>
      <w:r>
        <w:t xml:space="preserve"> </w:t>
      </w:r>
      <w:proofErr w:type="spellStart"/>
      <w:r>
        <w:t>Panev</w:t>
      </w:r>
      <w:proofErr w:type="spellEnd"/>
      <w:r>
        <w:t xml:space="preserve"> Law </w:t>
      </w:r>
      <w:r w:rsidRPr="00D352DC">
        <w:t>narrowly targeted academics and scientific institutions, and was in force until 1995.</w:t>
      </w:r>
      <w:r>
        <w:rPr>
          <w:rStyle w:val="FootnoteReference"/>
        </w:rPr>
        <w:footnoteReference w:id="12"/>
      </w:r>
      <w:r w:rsidRPr="00D352DC">
        <w:t xml:space="preserve"> </w:t>
      </w:r>
      <w:r>
        <w:t>Again, t</w:t>
      </w:r>
      <w:r w:rsidRPr="00D352DC">
        <w:t>he narrow focus on academics did not suggest a lustration process with substantial</w:t>
      </w:r>
      <w:r>
        <w:t xml:space="preserve"> bureaucratic change potential. </w:t>
      </w:r>
      <w:r w:rsidRPr="00D352DC">
        <w:t xml:space="preserve">Finally, the 1998 </w:t>
      </w:r>
      <w:r w:rsidRPr="00CF4CE2">
        <w:t>Law on Public Radio and Television</w:t>
      </w:r>
      <w:r>
        <w:t xml:space="preserve"> prohibited state s</w:t>
      </w:r>
      <w:r w:rsidRPr="00D352DC">
        <w:t xml:space="preserve">ecurity officers and informers from being elected as members of the Council for Electronic Media, and in practice the Council did remove </w:t>
      </w:r>
      <w:r>
        <w:t>one</w:t>
      </w:r>
      <w:r w:rsidRPr="00D352DC">
        <w:t xml:space="preserve"> member for being a former informer.</w:t>
      </w:r>
      <w:r>
        <w:rPr>
          <w:rStyle w:val="FootnoteReference"/>
        </w:rPr>
        <w:footnoteReference w:id="13"/>
      </w:r>
      <w:r>
        <w:t xml:space="preserve"> As with the early Albanian lustration laws, the very narrow focus of the laws suggested an attempt to deflect transitional justice attention away from public office holders, rather than engage with an authentic lustration of public institutions and governance. </w:t>
      </w:r>
      <w:r w:rsidRPr="00D352DC">
        <w:t>It was not until 2001 that public disclosure</w:t>
      </w:r>
      <w:r>
        <w:t>s of previous collaboration bega</w:t>
      </w:r>
      <w:r w:rsidRPr="00D352DC">
        <w:t xml:space="preserve">n across public sectors </w:t>
      </w:r>
      <w:r>
        <w:t>in a manner that</w:t>
      </w:r>
      <w:r w:rsidRPr="00D352DC">
        <w:t xml:space="preserve"> could be considered a fledgling </w:t>
      </w:r>
      <w:r>
        <w:t xml:space="preserve">and extremely limited </w:t>
      </w:r>
      <w:r w:rsidRPr="00D352DC">
        <w:t xml:space="preserve">attempt at real lustration. </w:t>
      </w:r>
      <w:r>
        <w:t>In practice, t</w:t>
      </w:r>
      <w:r w:rsidRPr="00D352DC">
        <w:t xml:space="preserve">he </w:t>
      </w:r>
      <w:r w:rsidRPr="00D352DC">
        <w:lastRenderedPageBreak/>
        <w:t>implementation of lustration and public disclosure processes in Bulgaria start</w:t>
      </w:r>
      <w:r>
        <w:t>ed</w:t>
      </w:r>
      <w:r w:rsidRPr="00D352DC">
        <w:t xml:space="preserve"> in earnest </w:t>
      </w:r>
      <w:r>
        <w:t>only in</w:t>
      </w:r>
      <w:r w:rsidRPr="00D352DC">
        <w:t xml:space="preserve"> 2006 with the passage of the </w:t>
      </w:r>
      <w:r w:rsidRPr="00667F20">
        <w:t>Law for Access and Disclosure of the Documents and Announcing Affiliations of Bulgarian Citizens to the State Security and the Intelligence Services of the Bulgarian National Army</w:t>
      </w:r>
      <w:r>
        <w:t>, suggesting significantly delayed accountability mechanisms in Bulgaria in practice</w:t>
      </w:r>
      <w:r w:rsidRPr="00D352DC">
        <w:t>.</w:t>
      </w:r>
      <w:r>
        <w:rPr>
          <w:rStyle w:val="FootnoteReference"/>
        </w:rPr>
        <w:footnoteReference w:id="14"/>
      </w:r>
      <w:r>
        <w:t xml:space="preserve"> As such, despite passing three lustration style laws, Bulgaria had no real accountability or bureaucratic change before 2006.</w:t>
      </w:r>
    </w:p>
    <w:p w:rsidR="00CF52CA" w:rsidRPr="00EE5315" w:rsidRDefault="00CF52CA" w:rsidP="00CF52CA">
      <w:pPr>
        <w:pStyle w:val="ListParagraph"/>
        <w:spacing w:line="480" w:lineRule="auto"/>
        <w:ind w:left="0" w:firstLine="720"/>
        <w:jc w:val="both"/>
      </w:pPr>
      <w:r w:rsidRPr="00D352DC">
        <w:t>Taking a closer look at both the timing and impl</w:t>
      </w:r>
      <w:r>
        <w:t>ementation of regional measures</w:t>
      </w:r>
      <w:r w:rsidRPr="00D352DC">
        <w:t xml:space="preserve"> puts Romania’s transitional justice in comparative perspective</w:t>
      </w:r>
      <w:r>
        <w:t xml:space="preserve"> (Table 3.1)</w:t>
      </w:r>
      <w:r w:rsidRPr="00D352DC">
        <w:t>.</w:t>
      </w:r>
      <w:r>
        <w:rPr>
          <w:color w:val="000000"/>
        </w:rPr>
        <w:t xml:space="preserve"> </w:t>
      </w:r>
      <w:r>
        <w:t xml:space="preserve">Although </w:t>
      </w:r>
      <w:r w:rsidRPr="00D352DC">
        <w:t xml:space="preserve">Romania was late to pass </w:t>
      </w:r>
      <w:r>
        <w:t xml:space="preserve">a lustration </w:t>
      </w:r>
      <w:r w:rsidRPr="00D352DC">
        <w:t>law</w:t>
      </w:r>
      <w:r>
        <w:t>, it was early to start discussing lustration as a transitional justice possibility. In</w:t>
      </w:r>
      <w:r w:rsidRPr="004174F1">
        <w:t xml:space="preserve"> March 1990, the </w:t>
      </w:r>
      <w:r>
        <w:t xml:space="preserve">Proclamation of </w:t>
      </w:r>
      <w:proofErr w:type="spellStart"/>
      <w:r w:rsidRPr="004174F1">
        <w:t>Timişoara</w:t>
      </w:r>
      <w:proofErr w:type="spellEnd"/>
      <w:r w:rsidRPr="004174F1">
        <w:t xml:space="preserve"> called for </w:t>
      </w:r>
      <w:r>
        <w:t xml:space="preserve">lustration through </w:t>
      </w:r>
      <w:r w:rsidRPr="004174F1">
        <w:t xml:space="preserve">the adoption of electoral law amendments </w:t>
      </w:r>
      <w:r>
        <w:t>that would have in effect screened and banned</w:t>
      </w:r>
      <w:r w:rsidRPr="004174F1">
        <w:t xml:space="preserve"> Communist Party leaders and </w:t>
      </w:r>
      <w:r w:rsidRPr="008D7314">
        <w:t>Securitate</w:t>
      </w:r>
      <w:r w:rsidRPr="004174F1">
        <w:t xml:space="preserve"> agents from running in presidential elections and from being included on party lists</w:t>
      </w:r>
      <w:r>
        <w:t>.</w:t>
      </w:r>
      <w:r>
        <w:rPr>
          <w:rStyle w:val="FootnoteReference"/>
        </w:rPr>
        <w:footnoteReference w:id="15"/>
      </w:r>
      <w:r w:rsidRPr="004174F1">
        <w:t xml:space="preserve"> </w:t>
      </w:r>
      <w:r>
        <w:t xml:space="preserve">As Stan explained, although </w:t>
      </w:r>
      <w:r w:rsidRPr="00D352DC">
        <w:t>it stands as only a miss</w:t>
      </w:r>
      <w:r>
        <w:t>ed opportunity, since lustration would fail</w:t>
      </w:r>
      <w:r w:rsidRPr="00D352DC">
        <w:t xml:space="preserve"> to materialize in Romania </w:t>
      </w:r>
      <w:r>
        <w:t xml:space="preserve">for almost another decade, it set the parameters of the lustration debate in the country. </w:t>
      </w:r>
      <w:r w:rsidRPr="002116AF">
        <w:t xml:space="preserve">In 1993 Senator </w:t>
      </w:r>
      <w:proofErr w:type="spellStart"/>
      <w:r w:rsidRPr="002116AF">
        <w:t>Constantin</w:t>
      </w:r>
      <w:proofErr w:type="spellEnd"/>
      <w:r w:rsidRPr="002116AF">
        <w:t xml:space="preserve"> </w:t>
      </w:r>
      <w:proofErr w:type="spellStart"/>
      <w:r w:rsidRPr="002116AF">
        <w:t>Ticu</w:t>
      </w:r>
      <w:proofErr w:type="spellEnd"/>
      <w:r w:rsidRPr="002116AF">
        <w:t xml:space="preserve"> </w:t>
      </w:r>
      <w:proofErr w:type="spellStart"/>
      <w:r w:rsidRPr="002116AF">
        <w:t>Dumitrescu</w:t>
      </w:r>
      <w:proofErr w:type="spellEnd"/>
      <w:r w:rsidRPr="002116AF">
        <w:t xml:space="preserve"> introduced a lustration </w:t>
      </w:r>
      <w:r>
        <w:t xml:space="preserve">type </w:t>
      </w:r>
      <w:r w:rsidRPr="002116AF">
        <w:t xml:space="preserve">proposal </w:t>
      </w:r>
      <w:r>
        <w:t xml:space="preserve">that would have </w:t>
      </w:r>
      <w:r w:rsidRPr="002116AF">
        <w:t xml:space="preserve">prevented part-time </w:t>
      </w:r>
      <w:r w:rsidRPr="00614E4C">
        <w:t>Securitate</w:t>
      </w:r>
      <w:r w:rsidRPr="002116AF">
        <w:t xml:space="preserve"> informers from being blackmailed </w:t>
      </w:r>
      <w:r>
        <w:t xml:space="preserve">based on their previous collaboration, but the proposal was rendered inert by a lack of general access to the secret police files. </w:t>
      </w:r>
      <w:proofErr w:type="spellStart"/>
      <w:r>
        <w:t>Dumitrescu</w:t>
      </w:r>
      <w:proofErr w:type="spellEnd"/>
      <w:r>
        <w:t xml:space="preserve"> pushed forward another lustration proposal, which was more expansive, highly contentious, hotly debated, rewritten and stripped of lustration provisions. It finally narrowly passed to become</w:t>
      </w:r>
      <w:r>
        <w:rPr>
          <w:i/>
        </w:rPr>
        <w:t xml:space="preserve"> </w:t>
      </w:r>
      <w:r w:rsidRPr="00922418">
        <w:t xml:space="preserve">Law 187/1999 </w:t>
      </w:r>
      <w:r>
        <w:t xml:space="preserve">on Access </w:t>
      </w:r>
      <w:r>
        <w:lastRenderedPageBreak/>
        <w:t>to the Personal File and D</w:t>
      </w:r>
      <w:r w:rsidRPr="00922418">
        <w:t xml:space="preserve">isclosure of the Securitate as </w:t>
      </w:r>
      <w:r>
        <w:t xml:space="preserve">the </w:t>
      </w:r>
      <w:r w:rsidRPr="00922418">
        <w:t>Political Police</w:t>
      </w:r>
      <w:r>
        <w:t xml:space="preserve"> (</w:t>
      </w:r>
      <w:proofErr w:type="spellStart"/>
      <w:r>
        <w:t>Ticu</w:t>
      </w:r>
      <w:proofErr w:type="spellEnd"/>
      <w:r w:rsidRPr="00D352DC">
        <w:t xml:space="preserve"> Law)</w:t>
      </w:r>
      <w:r>
        <w:t>.</w:t>
      </w:r>
      <w:r>
        <w:rPr>
          <w:rStyle w:val="FootnoteReference"/>
        </w:rPr>
        <w:footnoteReference w:id="16"/>
      </w:r>
      <w:r>
        <w:t xml:space="preserve"> </w:t>
      </w:r>
      <w:r w:rsidRPr="000953F2">
        <w:rPr>
          <w:rFonts w:eastAsia="Times New Roman"/>
        </w:rPr>
        <w:t>In practice</w:t>
      </w:r>
      <w:r>
        <w:rPr>
          <w:rFonts w:eastAsia="Times New Roman"/>
        </w:rPr>
        <w:t>,</w:t>
      </w:r>
      <w:r w:rsidRPr="000953F2">
        <w:rPr>
          <w:rFonts w:eastAsia="Times New Roman"/>
        </w:rPr>
        <w:t xml:space="preserve"> </w:t>
      </w:r>
      <w:proofErr w:type="spellStart"/>
      <w:r w:rsidRPr="00922418">
        <w:rPr>
          <w:bCs/>
          <w:shd w:val="clear" w:color="auto" w:fill="FFFFFF"/>
        </w:rPr>
        <w:t>Consiliul</w:t>
      </w:r>
      <w:proofErr w:type="spellEnd"/>
      <w:r w:rsidRPr="00922418">
        <w:rPr>
          <w:bCs/>
          <w:shd w:val="clear" w:color="auto" w:fill="FFFFFF"/>
        </w:rPr>
        <w:t xml:space="preserve"> </w:t>
      </w:r>
      <w:proofErr w:type="spellStart"/>
      <w:r w:rsidRPr="00922418">
        <w:rPr>
          <w:bCs/>
          <w:shd w:val="clear" w:color="auto" w:fill="FFFFFF"/>
        </w:rPr>
        <w:t>Național</w:t>
      </w:r>
      <w:proofErr w:type="spellEnd"/>
      <w:r w:rsidRPr="00922418">
        <w:rPr>
          <w:bCs/>
          <w:shd w:val="clear" w:color="auto" w:fill="FFFFFF"/>
        </w:rPr>
        <w:t xml:space="preserve"> </w:t>
      </w:r>
      <w:proofErr w:type="spellStart"/>
      <w:r w:rsidRPr="00922418">
        <w:rPr>
          <w:bCs/>
          <w:shd w:val="clear" w:color="auto" w:fill="FFFFFF"/>
        </w:rPr>
        <w:t>pentru</w:t>
      </w:r>
      <w:proofErr w:type="spellEnd"/>
      <w:r w:rsidRPr="00922418">
        <w:rPr>
          <w:bCs/>
          <w:shd w:val="clear" w:color="auto" w:fill="FFFFFF"/>
        </w:rPr>
        <w:t xml:space="preserve"> </w:t>
      </w:r>
      <w:proofErr w:type="spellStart"/>
      <w:r w:rsidRPr="00922418">
        <w:rPr>
          <w:bCs/>
          <w:shd w:val="clear" w:color="auto" w:fill="FFFFFF"/>
        </w:rPr>
        <w:t>Studierea</w:t>
      </w:r>
      <w:proofErr w:type="spellEnd"/>
      <w:r w:rsidRPr="00922418">
        <w:rPr>
          <w:bCs/>
          <w:shd w:val="clear" w:color="auto" w:fill="FFFFFF"/>
        </w:rPr>
        <w:t xml:space="preserve"> </w:t>
      </w:r>
      <w:proofErr w:type="spellStart"/>
      <w:r w:rsidRPr="00922418">
        <w:rPr>
          <w:bCs/>
          <w:shd w:val="clear" w:color="auto" w:fill="FFFFFF"/>
        </w:rPr>
        <w:t>Arhivelor</w:t>
      </w:r>
      <w:proofErr w:type="spellEnd"/>
      <w:r w:rsidRPr="00922418">
        <w:rPr>
          <w:bCs/>
          <w:shd w:val="clear" w:color="auto" w:fill="FFFFFF"/>
        </w:rPr>
        <w:t xml:space="preserve"> </w:t>
      </w:r>
      <w:proofErr w:type="spellStart"/>
      <w:r w:rsidRPr="00922418">
        <w:rPr>
          <w:bCs/>
          <w:shd w:val="clear" w:color="auto" w:fill="FFFFFF"/>
        </w:rPr>
        <w:t>Securității</w:t>
      </w:r>
      <w:proofErr w:type="spellEnd"/>
      <w:r w:rsidRPr="000953F2">
        <w:rPr>
          <w:rStyle w:val="apple-converted-space"/>
          <w:shd w:val="clear" w:color="auto" w:fill="FFFFFF"/>
        </w:rPr>
        <w:t> </w:t>
      </w:r>
      <w:r w:rsidRPr="000953F2">
        <w:rPr>
          <w:shd w:val="clear" w:color="auto" w:fill="FFFFFF"/>
        </w:rPr>
        <w:t>(</w:t>
      </w:r>
      <w:r>
        <w:rPr>
          <w:bCs/>
          <w:shd w:val="clear" w:color="auto" w:fill="FFFFFF"/>
        </w:rPr>
        <w:t>CNSAS</w:t>
      </w:r>
      <w:r>
        <w:rPr>
          <w:shd w:val="clear" w:color="auto" w:fill="FFFFFF"/>
        </w:rPr>
        <w:t xml:space="preserve"> or </w:t>
      </w:r>
      <w:r w:rsidRPr="000953F2">
        <w:rPr>
          <w:rFonts w:eastAsia="Times New Roman"/>
        </w:rPr>
        <w:t>National Council for the Study of the Securitate Archives</w:t>
      </w:r>
      <w:r>
        <w:rPr>
          <w:rFonts w:eastAsia="Times New Roman"/>
        </w:rPr>
        <w:t>), the agency charged with administering the process,</w:t>
      </w:r>
      <w:r w:rsidRPr="00877773">
        <w:rPr>
          <w:rFonts w:eastAsia="Times New Roman"/>
        </w:rPr>
        <w:t xml:space="preserve"> </w:t>
      </w:r>
      <w:r w:rsidRPr="000953F2">
        <w:rPr>
          <w:rFonts w:eastAsia="Times New Roman"/>
        </w:rPr>
        <w:t>lack</w:t>
      </w:r>
      <w:r>
        <w:rPr>
          <w:rFonts w:eastAsia="Times New Roman"/>
        </w:rPr>
        <w:t>ed</w:t>
      </w:r>
      <w:r w:rsidRPr="000953F2">
        <w:rPr>
          <w:rFonts w:eastAsia="Times New Roman"/>
        </w:rPr>
        <w:t xml:space="preserve"> independent file access</w:t>
      </w:r>
      <w:r>
        <w:rPr>
          <w:rFonts w:eastAsia="Times New Roman"/>
        </w:rPr>
        <w:t xml:space="preserve"> privileges. Institutional constraints on CNSAS and a review process based on</w:t>
      </w:r>
      <w:r w:rsidRPr="000953F2">
        <w:rPr>
          <w:rFonts w:eastAsia="Times New Roman"/>
        </w:rPr>
        <w:t xml:space="preserve"> voluntary confessions and self-resignations</w:t>
      </w:r>
      <w:r>
        <w:rPr>
          <w:rFonts w:eastAsia="Times New Roman"/>
        </w:rPr>
        <w:t xml:space="preserve"> resulted in the overall politicization of the process and</w:t>
      </w:r>
      <w:r w:rsidRPr="000953F2">
        <w:rPr>
          <w:rFonts w:eastAsia="Times New Roman"/>
        </w:rPr>
        <w:t xml:space="preserve"> </w:t>
      </w:r>
      <w:r w:rsidRPr="00D352DC">
        <w:rPr>
          <w:rFonts w:eastAsia="Times New Roman"/>
          <w:color w:val="000000"/>
        </w:rPr>
        <w:t xml:space="preserve">no real </w:t>
      </w:r>
      <w:r>
        <w:rPr>
          <w:rFonts w:eastAsia="Times New Roman"/>
          <w:color w:val="000000"/>
        </w:rPr>
        <w:t>implementation</w:t>
      </w:r>
      <w:r w:rsidRPr="00D352DC">
        <w:rPr>
          <w:rFonts w:eastAsia="Times New Roman"/>
          <w:color w:val="000000"/>
        </w:rPr>
        <w:t>.</w:t>
      </w:r>
      <w:r w:rsidRPr="00D352DC">
        <w:rPr>
          <w:rStyle w:val="FootnoteReference"/>
          <w:rFonts w:eastAsia="Times New Roman"/>
          <w:color w:val="000000"/>
        </w:rPr>
        <w:footnoteReference w:id="17"/>
      </w:r>
      <w:r>
        <w:rPr>
          <w:rFonts w:eastAsia="Times New Roman"/>
          <w:color w:val="000000"/>
        </w:rPr>
        <w:t xml:space="preserve"> </w:t>
      </w:r>
      <w:r w:rsidRPr="00D352DC">
        <w:rPr>
          <w:rFonts w:eastAsia="Times New Roman"/>
          <w:color w:val="000000"/>
        </w:rPr>
        <w:t>It was</w:t>
      </w:r>
      <w:r>
        <w:rPr>
          <w:rFonts w:eastAsia="Times New Roman"/>
          <w:color w:val="000000"/>
        </w:rPr>
        <w:t xml:space="preserve"> not until 2005-</w:t>
      </w:r>
      <w:r w:rsidRPr="00D352DC">
        <w:rPr>
          <w:color w:val="000000"/>
        </w:rPr>
        <w:t xml:space="preserve">2006, when President </w:t>
      </w:r>
      <w:proofErr w:type="spellStart"/>
      <w:r>
        <w:rPr>
          <w:color w:val="000000"/>
        </w:rPr>
        <w:t>Traian</w:t>
      </w:r>
      <w:proofErr w:type="spellEnd"/>
      <w:r>
        <w:rPr>
          <w:color w:val="000000"/>
        </w:rPr>
        <w:t xml:space="preserve"> </w:t>
      </w:r>
      <w:proofErr w:type="spellStart"/>
      <w:r w:rsidRPr="00667F20">
        <w:rPr>
          <w:bCs/>
          <w:shd w:val="clear" w:color="auto" w:fill="FFFFFF"/>
        </w:rPr>
        <w:t>Băsescu</w:t>
      </w:r>
      <w:proofErr w:type="spellEnd"/>
      <w:r w:rsidRPr="00D352DC">
        <w:rPr>
          <w:color w:val="000000"/>
        </w:rPr>
        <w:t xml:space="preserve"> intervened and had 60,0</w:t>
      </w:r>
      <w:r>
        <w:rPr>
          <w:color w:val="000000"/>
        </w:rPr>
        <w:t>00 files transferred to the CNSAS,</w:t>
      </w:r>
      <w:r w:rsidRPr="00D352DC">
        <w:rPr>
          <w:color w:val="000000"/>
        </w:rPr>
        <w:t xml:space="preserve"> that public disclosures bec</w:t>
      </w:r>
      <w:r>
        <w:rPr>
          <w:color w:val="000000"/>
        </w:rPr>
        <w:t>ame a real possibility</w:t>
      </w:r>
      <w:r w:rsidRPr="00D352DC">
        <w:rPr>
          <w:color w:val="000000"/>
        </w:rPr>
        <w:t>.</w:t>
      </w:r>
    </w:p>
    <w:p w:rsidR="00CF52CA" w:rsidRPr="00D352DC" w:rsidRDefault="00CF52CA" w:rsidP="00CF52CA">
      <w:pPr>
        <w:spacing w:after="0" w:line="480" w:lineRule="auto"/>
        <w:rPr>
          <w:rFonts w:ascii="Times New Roman" w:hAnsi="Times New Roman" w:cs="Times New Roman"/>
          <w:color w:val="000000"/>
          <w:sz w:val="24"/>
          <w:szCs w:val="24"/>
        </w:rPr>
      </w:pPr>
      <w:r w:rsidRPr="00D352DC">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w:t>
      </w:r>
      <w:r w:rsidRPr="00D352DC">
        <w:rPr>
          <w:rFonts w:ascii="Times New Roman" w:hAnsi="Times New Roman" w:cs="Times New Roman"/>
          <w:color w:val="000000"/>
          <w:sz w:val="24"/>
          <w:szCs w:val="24"/>
        </w:rPr>
        <w:t xml:space="preserve">timing of </w:t>
      </w:r>
      <w:r>
        <w:rPr>
          <w:rFonts w:ascii="Times New Roman" w:hAnsi="Times New Roman" w:cs="Times New Roman"/>
          <w:color w:val="000000"/>
          <w:sz w:val="24"/>
          <w:szCs w:val="24"/>
        </w:rPr>
        <w:t xml:space="preserve">the actually implemented </w:t>
      </w:r>
      <w:r w:rsidRPr="00D352DC">
        <w:rPr>
          <w:rFonts w:ascii="Times New Roman" w:hAnsi="Times New Roman" w:cs="Times New Roman"/>
          <w:color w:val="000000"/>
          <w:sz w:val="24"/>
          <w:szCs w:val="24"/>
        </w:rPr>
        <w:t xml:space="preserve">measures puts Romania on par with Bulgaria and ahead of Albania. To put </w:t>
      </w:r>
      <w:r>
        <w:rPr>
          <w:rFonts w:ascii="Times New Roman" w:hAnsi="Times New Roman" w:cs="Times New Roman"/>
          <w:color w:val="000000"/>
          <w:sz w:val="24"/>
          <w:szCs w:val="24"/>
        </w:rPr>
        <w:t xml:space="preserve">the </w:t>
      </w:r>
      <w:r w:rsidRPr="00D352DC">
        <w:rPr>
          <w:rFonts w:ascii="Times New Roman" w:hAnsi="Times New Roman" w:cs="Times New Roman"/>
          <w:color w:val="000000"/>
          <w:sz w:val="24"/>
          <w:szCs w:val="24"/>
        </w:rPr>
        <w:t xml:space="preserve">timing of </w:t>
      </w:r>
      <w:r>
        <w:rPr>
          <w:rFonts w:ascii="Times New Roman" w:hAnsi="Times New Roman" w:cs="Times New Roman"/>
          <w:color w:val="000000"/>
          <w:sz w:val="24"/>
          <w:szCs w:val="24"/>
        </w:rPr>
        <w:t xml:space="preserve">Romania’s </w:t>
      </w:r>
      <w:r w:rsidRPr="00D352DC">
        <w:rPr>
          <w:rFonts w:ascii="Times New Roman" w:hAnsi="Times New Roman" w:cs="Times New Roman"/>
          <w:color w:val="000000"/>
          <w:sz w:val="24"/>
          <w:szCs w:val="24"/>
        </w:rPr>
        <w:t>reforms in regional context, Poland also engaged with late lustration measures, passing its first measure in 1997</w:t>
      </w:r>
      <w:r>
        <w:rPr>
          <w:rFonts w:ascii="Times New Roman" w:hAnsi="Times New Roman" w:cs="Times New Roman"/>
          <w:color w:val="000000"/>
          <w:sz w:val="24"/>
          <w:szCs w:val="24"/>
        </w:rPr>
        <w:t>, as compared to Romania’s 1999 law. Poland also expanded its lustration provisions significantly in 2006, about the same time that Romania engaged in its expanded public disclosure program</w:t>
      </w:r>
      <w:r w:rsidRPr="00D352DC">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8"/>
      </w:r>
      <w:r>
        <w:rPr>
          <w:rFonts w:ascii="Times New Roman" w:hAnsi="Times New Roman" w:cs="Times New Roman"/>
          <w:color w:val="000000"/>
          <w:sz w:val="24"/>
          <w:szCs w:val="24"/>
        </w:rPr>
        <w:t xml:space="preserve"> Lithuania passed a l</w:t>
      </w:r>
      <w:r w:rsidRPr="00D352DC">
        <w:rPr>
          <w:rFonts w:ascii="Times New Roman" w:hAnsi="Times New Roman" w:cs="Times New Roman"/>
          <w:color w:val="000000"/>
          <w:sz w:val="24"/>
          <w:szCs w:val="24"/>
        </w:rPr>
        <w:t>ustration law in</w:t>
      </w:r>
      <w:r>
        <w:rPr>
          <w:rFonts w:ascii="Times New Roman" w:hAnsi="Times New Roman" w:cs="Times New Roman"/>
          <w:color w:val="000000"/>
          <w:sz w:val="24"/>
          <w:szCs w:val="24"/>
        </w:rPr>
        <w:t>1999, and Hungary expanded and extended</w:t>
      </w:r>
      <w:r w:rsidRPr="00D352DC">
        <w:rPr>
          <w:rFonts w:ascii="Times New Roman" w:hAnsi="Times New Roman" w:cs="Times New Roman"/>
          <w:color w:val="000000"/>
          <w:sz w:val="24"/>
          <w:szCs w:val="24"/>
        </w:rPr>
        <w:t xml:space="preserve"> lustration in 2000</w:t>
      </w:r>
      <w:r>
        <w:rPr>
          <w:rFonts w:ascii="Times New Roman" w:hAnsi="Times New Roman" w:cs="Times New Roman"/>
          <w:color w:val="000000"/>
          <w:sz w:val="24"/>
          <w:szCs w:val="24"/>
        </w:rPr>
        <w:t>. E</w:t>
      </w:r>
      <w:r w:rsidRPr="00D352DC">
        <w:rPr>
          <w:rFonts w:ascii="Times New Roman" w:hAnsi="Times New Roman" w:cs="Times New Roman"/>
          <w:color w:val="000000"/>
          <w:sz w:val="24"/>
          <w:szCs w:val="24"/>
        </w:rPr>
        <w:t xml:space="preserve">ven </w:t>
      </w:r>
      <w:r>
        <w:rPr>
          <w:rFonts w:ascii="Times New Roman" w:hAnsi="Times New Roman" w:cs="Times New Roman"/>
          <w:color w:val="000000"/>
          <w:sz w:val="24"/>
          <w:szCs w:val="24"/>
        </w:rPr>
        <w:t>the Czech Republic did not grant</w:t>
      </w:r>
      <w:r w:rsidRPr="00D352DC">
        <w:rPr>
          <w:rFonts w:ascii="Times New Roman" w:hAnsi="Times New Roman" w:cs="Times New Roman"/>
          <w:color w:val="000000"/>
          <w:sz w:val="24"/>
          <w:szCs w:val="24"/>
        </w:rPr>
        <w:t xml:space="preserve"> public </w:t>
      </w:r>
      <w:r>
        <w:rPr>
          <w:rFonts w:ascii="Times New Roman" w:hAnsi="Times New Roman" w:cs="Times New Roman"/>
          <w:color w:val="000000"/>
          <w:sz w:val="24"/>
          <w:szCs w:val="24"/>
        </w:rPr>
        <w:t xml:space="preserve">file </w:t>
      </w:r>
      <w:r w:rsidRPr="00D352DC">
        <w:rPr>
          <w:rFonts w:ascii="Times New Roman" w:hAnsi="Times New Roman" w:cs="Times New Roman"/>
          <w:color w:val="000000"/>
          <w:sz w:val="24"/>
          <w:szCs w:val="24"/>
        </w:rPr>
        <w:t>access until 2002.</w:t>
      </w:r>
      <w:r>
        <w:rPr>
          <w:rStyle w:val="FootnoteReference"/>
          <w:rFonts w:ascii="Times New Roman" w:hAnsi="Times New Roman" w:cs="Times New Roman"/>
          <w:color w:val="000000"/>
          <w:sz w:val="24"/>
          <w:szCs w:val="24"/>
        </w:rPr>
        <w:footnoteReference w:id="19"/>
      </w:r>
      <w:r w:rsidRPr="00D352DC">
        <w:rPr>
          <w:rFonts w:ascii="Times New Roman" w:hAnsi="Times New Roman" w:cs="Times New Roman"/>
          <w:color w:val="000000"/>
          <w:sz w:val="24"/>
          <w:szCs w:val="24"/>
        </w:rPr>
        <w:t xml:space="preserve"> In essence, placing Romania within a regional context illustrates </w:t>
      </w:r>
      <w:r>
        <w:rPr>
          <w:rFonts w:ascii="Times New Roman" w:hAnsi="Times New Roman" w:cs="Times New Roman"/>
          <w:color w:val="000000"/>
          <w:sz w:val="24"/>
          <w:szCs w:val="24"/>
        </w:rPr>
        <w:t>the</w:t>
      </w:r>
      <w:r w:rsidRPr="00D352DC">
        <w:rPr>
          <w:rFonts w:ascii="Times New Roman" w:hAnsi="Times New Roman" w:cs="Times New Roman"/>
          <w:color w:val="000000"/>
          <w:sz w:val="24"/>
          <w:szCs w:val="24"/>
        </w:rPr>
        <w:t xml:space="preserve"> many late lustration measures</w:t>
      </w:r>
      <w:r>
        <w:rPr>
          <w:rFonts w:ascii="Times New Roman" w:hAnsi="Times New Roman" w:cs="Times New Roman"/>
          <w:color w:val="000000"/>
          <w:sz w:val="24"/>
          <w:szCs w:val="24"/>
        </w:rPr>
        <w:t xml:space="preserve"> in the post-communist region.</w:t>
      </w:r>
      <w:r w:rsidRPr="00D352DC">
        <w:rPr>
          <w:rFonts w:ascii="Times New Roman" w:hAnsi="Times New Roman" w:cs="Times New Roman"/>
          <w:color w:val="000000"/>
          <w:sz w:val="24"/>
          <w:szCs w:val="24"/>
        </w:rPr>
        <w:t xml:space="preserve"> Moreover, the most expansive period of public disclosures in Romania corresponded with a similar late, expansive public disclosure program in Bulgaria.</w:t>
      </w:r>
    </w:p>
    <w:p w:rsidR="00CF52CA" w:rsidRPr="003A4065" w:rsidRDefault="00CF52CA" w:rsidP="00CF52CA">
      <w:pPr>
        <w:spacing w:after="0" w:line="480" w:lineRule="auto"/>
        <w:ind w:firstLine="720"/>
        <w:rPr>
          <w:rFonts w:ascii="Times New Roman" w:eastAsia="Times New Roman" w:hAnsi="Times New Roman" w:cs="Times New Roman"/>
          <w:b/>
          <w:color w:val="000000"/>
          <w:sz w:val="24"/>
          <w:szCs w:val="24"/>
        </w:rPr>
      </w:pPr>
      <w:r w:rsidRPr="003A4065">
        <w:rPr>
          <w:rFonts w:ascii="Times New Roman" w:hAnsi="Times New Roman" w:cs="Times New Roman"/>
          <w:b/>
          <w:i/>
          <w:color w:val="000000"/>
          <w:sz w:val="24"/>
          <w:szCs w:val="24"/>
        </w:rPr>
        <w:t xml:space="preserve">Public Disclosures </w:t>
      </w:r>
      <w:r w:rsidRPr="003A4065">
        <w:rPr>
          <w:rFonts w:ascii="Times New Roman" w:eastAsia="Times New Roman" w:hAnsi="Times New Roman" w:cs="Times New Roman"/>
          <w:b/>
          <w:color w:val="000000"/>
          <w:sz w:val="24"/>
          <w:szCs w:val="24"/>
        </w:rPr>
        <w:tab/>
      </w:r>
    </w:p>
    <w:p w:rsidR="00CF52CA" w:rsidRDefault="00CF52CA" w:rsidP="00CF52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was temporal and procedural continuity between the public disclosure programs adopted in Romania and Bulgaria in terms of the implementation of late transition accountability measures. The CNSAS in Romania and the Dossier Commission in Bulgaria are both file repository agencies and members of the European Network of Official Authorities in Charge of the Secret Police Files.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w:t>
      </w:r>
      <w:r w:rsidRPr="00D352DC">
        <w:rPr>
          <w:rFonts w:ascii="Times New Roman" w:hAnsi="Times New Roman" w:cs="Times New Roman"/>
          <w:sz w:val="24"/>
          <w:szCs w:val="24"/>
        </w:rPr>
        <w:t>he Bulgarian Constitution officially prohibits lustration and the Romanian Constitutional Court has ruled many times on the unconstitutionality of similar lustration measures.</w:t>
      </w:r>
      <w:r>
        <w:rPr>
          <w:rStyle w:val="FootnoteReference"/>
          <w:rFonts w:ascii="Times New Roman" w:hAnsi="Times New Roman" w:cs="Times New Roman"/>
          <w:sz w:val="24"/>
          <w:szCs w:val="24"/>
        </w:rPr>
        <w:footnoteReference w:id="21"/>
      </w:r>
      <w:r w:rsidRPr="00D352D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Thus, these file repository agencies play a pseudo-lustration role using the secret police files to disclose the background of individuals in a variety of positions of public trust.</w:t>
      </w:r>
    </w:p>
    <w:p w:rsidR="00CF52CA" w:rsidRPr="00D352DC" w:rsidRDefault="00CF52CA" w:rsidP="00CF52CA">
      <w:pPr>
        <w:spacing w:after="0" w:line="480" w:lineRule="auto"/>
        <w:ind w:firstLine="720"/>
        <w:jc w:val="both"/>
        <w:rPr>
          <w:rFonts w:ascii="Times New Roman" w:hAnsi="Times New Roman" w:cs="Times New Roman"/>
          <w:sz w:val="24"/>
          <w:szCs w:val="24"/>
        </w:rPr>
      </w:pPr>
      <w:r w:rsidRPr="00D352DC">
        <w:rPr>
          <w:rFonts w:ascii="Times New Roman" w:hAnsi="Times New Roman" w:cs="Times New Roman"/>
          <w:sz w:val="24"/>
          <w:szCs w:val="24"/>
        </w:rPr>
        <w:t>T</w:t>
      </w:r>
      <w:r>
        <w:rPr>
          <w:rFonts w:ascii="Times New Roman" w:hAnsi="Times New Roman" w:cs="Times New Roman"/>
          <w:color w:val="000000"/>
          <w:sz w:val="24"/>
          <w:szCs w:val="24"/>
        </w:rPr>
        <w:t>he Romanian CNSAS</w:t>
      </w:r>
      <w:r w:rsidRPr="00D352DC">
        <w:rPr>
          <w:rFonts w:ascii="Times New Roman" w:hAnsi="Times New Roman" w:cs="Times New Roman"/>
          <w:color w:val="000000"/>
          <w:sz w:val="24"/>
          <w:szCs w:val="24"/>
        </w:rPr>
        <w:t xml:space="preserve">'s active role in unmasking collaborators and agents did not start until after </w:t>
      </w:r>
      <w:r>
        <w:rPr>
          <w:rFonts w:ascii="Times New Roman" w:hAnsi="Times New Roman" w:cs="Times New Roman"/>
          <w:color w:val="000000"/>
          <w:sz w:val="24"/>
          <w:szCs w:val="24"/>
        </w:rPr>
        <w:t>the file transfer of</w:t>
      </w:r>
      <w:r w:rsidRPr="00D352DC">
        <w:rPr>
          <w:rFonts w:ascii="Times New Roman" w:hAnsi="Times New Roman" w:cs="Times New Roman"/>
          <w:color w:val="000000"/>
          <w:sz w:val="24"/>
          <w:szCs w:val="24"/>
        </w:rPr>
        <w:t xml:space="preserve"> 2006, an</w:t>
      </w:r>
      <w:r>
        <w:rPr>
          <w:rFonts w:ascii="Times New Roman" w:hAnsi="Times New Roman" w:cs="Times New Roman"/>
          <w:color w:val="000000"/>
          <w:sz w:val="24"/>
          <w:szCs w:val="24"/>
        </w:rPr>
        <w:t>d commenced in earnest in 2008.</w:t>
      </w:r>
      <w:r w:rsidRPr="00D352D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Bulgarian </w:t>
      </w:r>
      <w:r w:rsidRPr="00D352DC">
        <w:rPr>
          <w:rFonts w:ascii="Times New Roman" w:hAnsi="Times New Roman" w:cs="Times New Roman"/>
          <w:color w:val="000000"/>
          <w:sz w:val="24"/>
          <w:szCs w:val="24"/>
        </w:rPr>
        <w:t xml:space="preserve">Dossier Commission was empowered in December 2006, but really began to expand the scope of its work in 2007-2008. At that time, </w:t>
      </w:r>
      <w:r w:rsidRPr="00D352DC">
        <w:rPr>
          <w:rFonts w:ascii="Times New Roman" w:hAnsi="Times New Roman" w:cs="Times New Roman"/>
          <w:sz w:val="24"/>
          <w:szCs w:val="24"/>
        </w:rPr>
        <w:t xml:space="preserve">the Dossier Commission </w:t>
      </w:r>
      <w:r>
        <w:rPr>
          <w:rFonts w:ascii="Times New Roman" w:hAnsi="Times New Roman" w:cs="Times New Roman"/>
          <w:sz w:val="24"/>
          <w:szCs w:val="24"/>
        </w:rPr>
        <w:t>and the CNSAS began</w:t>
      </w:r>
      <w:r w:rsidRPr="00D352DC">
        <w:rPr>
          <w:rFonts w:ascii="Times New Roman" w:hAnsi="Times New Roman" w:cs="Times New Roman"/>
          <w:sz w:val="24"/>
          <w:szCs w:val="24"/>
        </w:rPr>
        <w:t xml:space="preserve"> to review the files of political candidates and individuals in positions of public trust, and publicly disclose any former collaboration fo</w:t>
      </w:r>
      <w:r>
        <w:rPr>
          <w:rFonts w:ascii="Times New Roman" w:hAnsi="Times New Roman" w:cs="Times New Roman"/>
          <w:sz w:val="24"/>
          <w:szCs w:val="24"/>
        </w:rPr>
        <w:t>und in the secret archives.</w:t>
      </w:r>
      <w:r w:rsidRPr="00D352DC">
        <w:rPr>
          <w:rFonts w:ascii="Times New Roman" w:hAnsi="Times New Roman" w:cs="Times New Roman"/>
          <w:sz w:val="24"/>
          <w:szCs w:val="24"/>
        </w:rPr>
        <w:t xml:space="preserve"> </w:t>
      </w:r>
      <w:r>
        <w:rPr>
          <w:rFonts w:ascii="Times New Roman" w:hAnsi="Times New Roman" w:cs="Times New Roman"/>
          <w:sz w:val="24"/>
          <w:szCs w:val="24"/>
        </w:rPr>
        <w:t>T</w:t>
      </w:r>
      <w:r w:rsidRPr="00D352DC">
        <w:rPr>
          <w:rFonts w:ascii="Times New Roman" w:hAnsi="Times New Roman" w:cs="Times New Roman"/>
          <w:sz w:val="24"/>
          <w:szCs w:val="24"/>
        </w:rPr>
        <w:t>his information c</w:t>
      </w:r>
      <w:r>
        <w:rPr>
          <w:rFonts w:ascii="Times New Roman" w:hAnsi="Times New Roman" w:cs="Times New Roman"/>
          <w:sz w:val="24"/>
          <w:szCs w:val="24"/>
        </w:rPr>
        <w:t>ould not</w:t>
      </w:r>
      <w:r w:rsidRPr="00D352DC">
        <w:rPr>
          <w:rFonts w:ascii="Times New Roman" w:hAnsi="Times New Roman" w:cs="Times New Roman"/>
          <w:sz w:val="24"/>
          <w:szCs w:val="24"/>
        </w:rPr>
        <w:t xml:space="preserve"> result in form</w:t>
      </w:r>
      <w:r>
        <w:rPr>
          <w:rFonts w:ascii="Times New Roman" w:hAnsi="Times New Roman" w:cs="Times New Roman"/>
          <w:sz w:val="24"/>
          <w:szCs w:val="24"/>
        </w:rPr>
        <w:t xml:space="preserve">al employment penalties, as there were no punitive lustration laws in place, but they had </w:t>
      </w:r>
      <w:r w:rsidRPr="00D352DC">
        <w:rPr>
          <w:rFonts w:ascii="Times New Roman" w:hAnsi="Times New Roman" w:cs="Times New Roman"/>
          <w:sz w:val="24"/>
          <w:szCs w:val="24"/>
        </w:rPr>
        <w:t xml:space="preserve">an important disclosure </w:t>
      </w:r>
      <w:r>
        <w:rPr>
          <w:rFonts w:ascii="Times New Roman" w:hAnsi="Times New Roman" w:cs="Times New Roman"/>
          <w:sz w:val="24"/>
          <w:szCs w:val="24"/>
        </w:rPr>
        <w:t>purpose</w:t>
      </w:r>
      <w:r w:rsidRPr="00D352DC">
        <w:rPr>
          <w:rFonts w:ascii="Times New Roman" w:hAnsi="Times New Roman" w:cs="Times New Roman"/>
          <w:sz w:val="24"/>
          <w:szCs w:val="24"/>
        </w:rPr>
        <w:t xml:space="preserve"> with potential bureaucratic change elements. T</w:t>
      </w:r>
      <w:r>
        <w:rPr>
          <w:rFonts w:ascii="Times New Roman" w:hAnsi="Times New Roman" w:cs="Times New Roman"/>
          <w:sz w:val="24"/>
          <w:szCs w:val="24"/>
        </w:rPr>
        <w:t>he scope of positions screened wa</w:t>
      </w:r>
      <w:r w:rsidRPr="00D352DC">
        <w:rPr>
          <w:rFonts w:ascii="Times New Roman" w:hAnsi="Times New Roman" w:cs="Times New Roman"/>
          <w:sz w:val="24"/>
          <w:szCs w:val="24"/>
        </w:rPr>
        <w:t>s br</w:t>
      </w:r>
      <w:r>
        <w:rPr>
          <w:rFonts w:ascii="Times New Roman" w:hAnsi="Times New Roman" w:cs="Times New Roman"/>
          <w:sz w:val="24"/>
          <w:szCs w:val="24"/>
        </w:rPr>
        <w:t xml:space="preserve">oad, covering elected officials and public bureaucrats </w:t>
      </w:r>
      <w:r w:rsidRPr="00D352DC">
        <w:rPr>
          <w:rFonts w:ascii="Times New Roman" w:hAnsi="Times New Roman" w:cs="Times New Roman"/>
          <w:sz w:val="24"/>
          <w:szCs w:val="24"/>
        </w:rPr>
        <w:t>at the national and regional levels</w:t>
      </w:r>
      <w:r>
        <w:rPr>
          <w:rFonts w:ascii="Times New Roman" w:hAnsi="Times New Roman" w:cs="Times New Roman"/>
          <w:sz w:val="24"/>
          <w:szCs w:val="24"/>
        </w:rPr>
        <w:t>, as well as</w:t>
      </w:r>
      <w:r w:rsidRPr="00D352DC">
        <w:rPr>
          <w:rFonts w:ascii="Times New Roman" w:hAnsi="Times New Roman" w:cs="Times New Roman"/>
          <w:sz w:val="24"/>
          <w:szCs w:val="24"/>
        </w:rPr>
        <w:t xml:space="preserve"> semi-public positions</w:t>
      </w:r>
      <w:r>
        <w:rPr>
          <w:rFonts w:ascii="Times New Roman" w:hAnsi="Times New Roman" w:cs="Times New Roman"/>
          <w:sz w:val="24"/>
          <w:szCs w:val="24"/>
        </w:rPr>
        <w:t>, such as</w:t>
      </w:r>
      <w:r w:rsidRPr="00D352DC">
        <w:rPr>
          <w:rFonts w:ascii="Times New Roman" w:hAnsi="Times New Roman" w:cs="Times New Roman"/>
          <w:sz w:val="24"/>
          <w:szCs w:val="24"/>
        </w:rPr>
        <w:t xml:space="preserve"> cultural directors</w:t>
      </w:r>
      <w:r>
        <w:rPr>
          <w:rFonts w:ascii="Times New Roman" w:hAnsi="Times New Roman" w:cs="Times New Roman"/>
          <w:sz w:val="24"/>
          <w:szCs w:val="24"/>
        </w:rPr>
        <w:t>,</w:t>
      </w:r>
      <w:r w:rsidRPr="00D352DC">
        <w:rPr>
          <w:rFonts w:ascii="Times New Roman" w:hAnsi="Times New Roman" w:cs="Times New Roman"/>
          <w:sz w:val="24"/>
          <w:szCs w:val="24"/>
        </w:rPr>
        <w:t xml:space="preserve"> or clergy </w:t>
      </w:r>
      <w:r>
        <w:rPr>
          <w:rFonts w:ascii="Times New Roman" w:hAnsi="Times New Roman" w:cs="Times New Roman"/>
          <w:sz w:val="24"/>
          <w:szCs w:val="24"/>
        </w:rPr>
        <w:t>members in the case of Bulgaria.</w:t>
      </w:r>
      <w:r w:rsidRPr="00D352DC">
        <w:rPr>
          <w:rFonts w:ascii="Times New Roman" w:hAnsi="Times New Roman" w:cs="Times New Roman"/>
          <w:sz w:val="24"/>
          <w:szCs w:val="24"/>
        </w:rPr>
        <w:t xml:space="preserve"> While both </w:t>
      </w:r>
      <w:r>
        <w:rPr>
          <w:rFonts w:ascii="Times New Roman" w:hAnsi="Times New Roman" w:cs="Times New Roman"/>
          <w:sz w:val="24"/>
          <w:szCs w:val="24"/>
        </w:rPr>
        <w:t>the</w:t>
      </w:r>
      <w:r w:rsidRPr="00D352DC">
        <w:rPr>
          <w:rFonts w:ascii="Times New Roman" w:hAnsi="Times New Roman" w:cs="Times New Roman"/>
          <w:sz w:val="24"/>
          <w:szCs w:val="24"/>
        </w:rPr>
        <w:t xml:space="preserve"> D</w:t>
      </w:r>
      <w:r>
        <w:rPr>
          <w:rFonts w:ascii="Times New Roman" w:hAnsi="Times New Roman" w:cs="Times New Roman"/>
          <w:sz w:val="24"/>
          <w:szCs w:val="24"/>
        </w:rPr>
        <w:t>ossier Commission and the CNSAS</w:t>
      </w:r>
      <w:r w:rsidRPr="00D352DC">
        <w:rPr>
          <w:rFonts w:ascii="Times New Roman" w:hAnsi="Times New Roman" w:cs="Times New Roman"/>
          <w:sz w:val="24"/>
          <w:szCs w:val="24"/>
        </w:rPr>
        <w:t xml:space="preserve"> have limitations on the degree </w:t>
      </w:r>
      <w:r w:rsidRPr="00D352DC">
        <w:rPr>
          <w:rFonts w:ascii="Times New Roman" w:hAnsi="Times New Roman" w:cs="Times New Roman"/>
          <w:sz w:val="24"/>
          <w:szCs w:val="24"/>
        </w:rPr>
        <w:lastRenderedPageBreak/>
        <w:t>to which they can engage with formal lustration, they</w:t>
      </w:r>
      <w:r>
        <w:rPr>
          <w:rFonts w:ascii="Times New Roman" w:hAnsi="Times New Roman" w:cs="Times New Roman"/>
          <w:sz w:val="24"/>
          <w:szCs w:val="24"/>
        </w:rPr>
        <w:t xml:space="preserve"> </w:t>
      </w:r>
      <w:r w:rsidRPr="00D352DC">
        <w:rPr>
          <w:rFonts w:ascii="Times New Roman" w:hAnsi="Times New Roman" w:cs="Times New Roman"/>
          <w:sz w:val="24"/>
          <w:szCs w:val="24"/>
        </w:rPr>
        <w:t xml:space="preserve">used their capacity as public disclosure agencies with access to the secret </w:t>
      </w:r>
      <w:r>
        <w:rPr>
          <w:rFonts w:ascii="Times New Roman" w:hAnsi="Times New Roman" w:cs="Times New Roman"/>
          <w:sz w:val="24"/>
          <w:szCs w:val="24"/>
        </w:rPr>
        <w:t>archives</w:t>
      </w:r>
      <w:r w:rsidRPr="00D352DC">
        <w:rPr>
          <w:rFonts w:ascii="Times New Roman" w:hAnsi="Times New Roman" w:cs="Times New Roman"/>
          <w:sz w:val="24"/>
          <w:szCs w:val="24"/>
        </w:rPr>
        <w:t xml:space="preserve"> to pursue informal lustration.</w:t>
      </w:r>
      <w:r>
        <w:rPr>
          <w:rStyle w:val="FootnoteReference"/>
          <w:rFonts w:ascii="Times New Roman" w:hAnsi="Times New Roman" w:cs="Times New Roman"/>
          <w:sz w:val="24"/>
          <w:szCs w:val="24"/>
        </w:rPr>
        <w:footnoteReference w:id="22"/>
      </w:r>
    </w:p>
    <w:p w:rsidR="00CF52CA" w:rsidRPr="00D352DC" w:rsidRDefault="00CF52CA" w:rsidP="00CF52CA">
      <w:pPr>
        <w:spacing w:after="0" w:line="480" w:lineRule="auto"/>
        <w:ind w:firstLine="720"/>
        <w:jc w:val="both"/>
        <w:rPr>
          <w:rFonts w:ascii="Times New Roman" w:hAnsi="Times New Roman" w:cs="Times New Roman"/>
          <w:color w:val="000000"/>
          <w:sz w:val="24"/>
          <w:szCs w:val="24"/>
        </w:rPr>
      </w:pPr>
      <w:r w:rsidRPr="00D352DC">
        <w:rPr>
          <w:rFonts w:ascii="Times New Roman" w:hAnsi="Times New Roman" w:cs="Times New Roman"/>
          <w:sz w:val="24"/>
          <w:szCs w:val="24"/>
        </w:rPr>
        <w:t xml:space="preserve">The </w:t>
      </w:r>
      <w:r w:rsidRPr="00D352DC">
        <w:rPr>
          <w:rFonts w:ascii="Times New Roman" w:eastAsia="Times New Roman" w:hAnsi="Times New Roman" w:cs="Times New Roman"/>
          <w:color w:val="000000"/>
          <w:sz w:val="24"/>
          <w:szCs w:val="24"/>
        </w:rPr>
        <w:t xml:space="preserve">public disclosures of </w:t>
      </w:r>
      <w:r>
        <w:rPr>
          <w:rFonts w:ascii="Times New Roman" w:eastAsia="Times New Roman" w:hAnsi="Times New Roman" w:cs="Times New Roman"/>
          <w:color w:val="000000"/>
          <w:sz w:val="24"/>
          <w:szCs w:val="24"/>
        </w:rPr>
        <w:t xml:space="preserve">former </w:t>
      </w:r>
      <w:r w:rsidRPr="00D352DC">
        <w:rPr>
          <w:rFonts w:ascii="Times New Roman" w:eastAsia="Times New Roman" w:hAnsi="Times New Roman" w:cs="Times New Roman"/>
          <w:color w:val="000000"/>
          <w:sz w:val="24"/>
          <w:szCs w:val="24"/>
        </w:rPr>
        <w:t xml:space="preserve">secret police agents and collaborators in positions of power </w:t>
      </w:r>
      <w:r>
        <w:rPr>
          <w:rFonts w:ascii="Times New Roman" w:eastAsia="Times New Roman" w:hAnsi="Times New Roman" w:cs="Times New Roman"/>
          <w:color w:val="000000"/>
          <w:sz w:val="24"/>
          <w:szCs w:val="24"/>
        </w:rPr>
        <w:t xml:space="preserve">were and </w:t>
      </w:r>
      <w:r w:rsidRPr="00D352DC">
        <w:rPr>
          <w:rFonts w:ascii="Times New Roman" w:eastAsia="Times New Roman" w:hAnsi="Times New Roman" w:cs="Times New Roman"/>
          <w:color w:val="000000"/>
          <w:sz w:val="24"/>
          <w:szCs w:val="24"/>
        </w:rPr>
        <w:t>are published openly on the agency websites, as forms of</w:t>
      </w:r>
      <w:r w:rsidRPr="00D352DC">
        <w:rPr>
          <w:rFonts w:ascii="Times New Roman" w:hAnsi="Times New Roman" w:cs="Times New Roman"/>
          <w:color w:val="000000"/>
          <w:sz w:val="24"/>
          <w:szCs w:val="24"/>
        </w:rPr>
        <w:t xml:space="preserve"> symbolic public accountability.</w:t>
      </w:r>
      <w:r>
        <w:rPr>
          <w:rStyle w:val="FootnoteReference"/>
          <w:rFonts w:ascii="Times New Roman" w:hAnsi="Times New Roman" w:cs="Times New Roman"/>
          <w:color w:val="000000"/>
          <w:sz w:val="24"/>
          <w:szCs w:val="24"/>
        </w:rPr>
        <w:footnoteReference w:id="23"/>
      </w:r>
      <w:r>
        <w:rPr>
          <w:rFonts w:ascii="Times New Roman" w:hAnsi="Times New Roman" w:cs="Times New Roman"/>
          <w:color w:val="000000"/>
          <w:sz w:val="24"/>
          <w:szCs w:val="24"/>
        </w:rPr>
        <w:t xml:space="preserve"> </w:t>
      </w:r>
      <w:r w:rsidRPr="00D352DC">
        <w:rPr>
          <w:rFonts w:ascii="Times New Roman" w:hAnsi="Times New Roman" w:cs="Times New Roman"/>
          <w:color w:val="000000"/>
          <w:sz w:val="24"/>
          <w:szCs w:val="24"/>
        </w:rPr>
        <w:t>Both agencies report</w:t>
      </w:r>
      <w:r>
        <w:rPr>
          <w:rFonts w:ascii="Times New Roman" w:hAnsi="Times New Roman" w:cs="Times New Roman"/>
          <w:color w:val="000000"/>
          <w:sz w:val="24"/>
          <w:szCs w:val="24"/>
        </w:rPr>
        <w:t>ed</w:t>
      </w:r>
      <w:r w:rsidRPr="00D352DC">
        <w:rPr>
          <w:rFonts w:ascii="Times New Roman" w:hAnsi="Times New Roman" w:cs="Times New Roman"/>
          <w:color w:val="000000"/>
          <w:sz w:val="24"/>
          <w:szCs w:val="24"/>
        </w:rPr>
        <w:t xml:space="preserve"> that fear of public disclosure cause</w:t>
      </w:r>
      <w:r>
        <w:rPr>
          <w:rFonts w:ascii="Times New Roman" w:hAnsi="Times New Roman" w:cs="Times New Roman"/>
          <w:color w:val="000000"/>
          <w:sz w:val="24"/>
          <w:szCs w:val="24"/>
        </w:rPr>
        <w:t>d</w:t>
      </w:r>
      <w:r w:rsidRPr="00D352DC">
        <w:rPr>
          <w:rFonts w:ascii="Times New Roman" w:hAnsi="Times New Roman" w:cs="Times New Roman"/>
          <w:color w:val="000000"/>
          <w:sz w:val="24"/>
          <w:szCs w:val="24"/>
        </w:rPr>
        <w:t xml:space="preserve"> political parties to self-lustrate potential candidates before placing them on electoral tickets, thereby demonstrating an institutional change function to disclosures.</w:t>
      </w:r>
      <w:r>
        <w:rPr>
          <w:rStyle w:val="FootnoteReference"/>
          <w:rFonts w:ascii="Times New Roman" w:hAnsi="Times New Roman" w:cs="Times New Roman"/>
          <w:color w:val="000000"/>
          <w:sz w:val="24"/>
          <w:szCs w:val="24"/>
        </w:rPr>
        <w:footnoteReference w:id="24"/>
      </w:r>
      <w:r w:rsidRPr="00D352DC">
        <w:rPr>
          <w:rFonts w:ascii="Times New Roman" w:hAnsi="Times New Roman" w:cs="Times New Roman"/>
          <w:color w:val="000000"/>
          <w:sz w:val="24"/>
          <w:szCs w:val="24"/>
        </w:rPr>
        <w:t xml:space="preserve"> The agencies also reported that some individuals resign</w:t>
      </w:r>
      <w:r>
        <w:rPr>
          <w:rFonts w:ascii="Times New Roman" w:hAnsi="Times New Roman" w:cs="Times New Roman"/>
          <w:color w:val="000000"/>
          <w:sz w:val="24"/>
          <w:szCs w:val="24"/>
        </w:rPr>
        <w:t>ed</w:t>
      </w:r>
      <w:r w:rsidRPr="00D352DC">
        <w:rPr>
          <w:rFonts w:ascii="Times New Roman" w:hAnsi="Times New Roman" w:cs="Times New Roman"/>
          <w:color w:val="000000"/>
          <w:sz w:val="24"/>
          <w:szCs w:val="24"/>
        </w:rPr>
        <w:t xml:space="preserve"> positions to avoid media attention or </w:t>
      </w:r>
      <w:r>
        <w:rPr>
          <w:rFonts w:ascii="Times New Roman" w:hAnsi="Times New Roman" w:cs="Times New Roman"/>
          <w:color w:val="000000"/>
          <w:sz w:val="24"/>
          <w:szCs w:val="24"/>
        </w:rPr>
        <w:t xml:space="preserve">public </w:t>
      </w:r>
      <w:r w:rsidRPr="00D352DC">
        <w:rPr>
          <w:rFonts w:ascii="Times New Roman" w:hAnsi="Times New Roman" w:cs="Times New Roman"/>
          <w:color w:val="000000"/>
          <w:sz w:val="24"/>
          <w:szCs w:val="24"/>
        </w:rPr>
        <w:t>backlash. Therefore</w:t>
      </w:r>
      <w:r>
        <w:rPr>
          <w:rFonts w:ascii="Times New Roman" w:hAnsi="Times New Roman" w:cs="Times New Roman"/>
          <w:color w:val="000000"/>
          <w:sz w:val="24"/>
          <w:szCs w:val="24"/>
        </w:rPr>
        <w:t>,</w:t>
      </w:r>
      <w:r w:rsidRPr="00D352DC">
        <w:rPr>
          <w:rFonts w:ascii="Times New Roman" w:hAnsi="Times New Roman" w:cs="Times New Roman"/>
          <w:color w:val="000000"/>
          <w:sz w:val="24"/>
          <w:szCs w:val="24"/>
        </w:rPr>
        <w:t xml:space="preserve"> a self-selection mechanism </w:t>
      </w:r>
      <w:r>
        <w:rPr>
          <w:rFonts w:ascii="Times New Roman" w:hAnsi="Times New Roman" w:cs="Times New Roman"/>
          <w:color w:val="000000"/>
          <w:sz w:val="24"/>
          <w:szCs w:val="24"/>
        </w:rPr>
        <w:t xml:space="preserve">is </w:t>
      </w:r>
      <w:r w:rsidRPr="00D352DC">
        <w:rPr>
          <w:rFonts w:ascii="Times New Roman" w:hAnsi="Times New Roman" w:cs="Times New Roman"/>
          <w:color w:val="000000"/>
          <w:sz w:val="24"/>
          <w:szCs w:val="24"/>
        </w:rPr>
        <w:t xml:space="preserve">associated with public disclosures as well, much like the </w:t>
      </w:r>
      <w:r>
        <w:rPr>
          <w:rFonts w:ascii="Times New Roman" w:hAnsi="Times New Roman" w:cs="Times New Roman"/>
          <w:color w:val="000000"/>
          <w:sz w:val="24"/>
          <w:szCs w:val="24"/>
        </w:rPr>
        <w:t>non-punitive employment change components of</w:t>
      </w:r>
      <w:r w:rsidRPr="00D352DC">
        <w:rPr>
          <w:rFonts w:ascii="Times New Roman" w:hAnsi="Times New Roman" w:cs="Times New Roman"/>
          <w:color w:val="000000"/>
          <w:sz w:val="24"/>
          <w:szCs w:val="24"/>
        </w:rPr>
        <w:t xml:space="preserve"> lustration</w:t>
      </w:r>
      <w:r>
        <w:rPr>
          <w:rFonts w:ascii="Times New Roman" w:hAnsi="Times New Roman" w:cs="Times New Roman"/>
          <w:color w:val="000000"/>
          <w:sz w:val="24"/>
          <w:szCs w:val="24"/>
        </w:rPr>
        <w:t xml:space="preserve"> measures used in Hungary and Poland.</w:t>
      </w:r>
    </w:p>
    <w:p w:rsidR="00CF52CA" w:rsidRDefault="00CF52CA" w:rsidP="00CF52CA">
      <w:pPr>
        <w:spacing w:after="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In sum, the Romanian and Bulgarian</w:t>
      </w:r>
      <w:r w:rsidRPr="00D352DC">
        <w:rPr>
          <w:rFonts w:ascii="Times New Roman" w:hAnsi="Times New Roman" w:cs="Times New Roman"/>
          <w:sz w:val="24"/>
          <w:szCs w:val="24"/>
        </w:rPr>
        <w:t xml:space="preserve"> public disclosure programs currently operate as transitional justice mechanisms, albeit late and informal mechanisms. </w:t>
      </w:r>
      <w:r w:rsidRPr="00D352DC">
        <w:rPr>
          <w:rFonts w:ascii="Times New Roman" w:hAnsi="Times New Roman" w:cs="Times New Roman"/>
          <w:color w:val="000000"/>
          <w:sz w:val="24"/>
          <w:szCs w:val="24"/>
        </w:rPr>
        <w:t>In both cases, f</w:t>
      </w:r>
      <w:r w:rsidRPr="00D352DC">
        <w:rPr>
          <w:rFonts w:ascii="Times New Roman" w:eastAsia="Times New Roman" w:hAnsi="Times New Roman" w:cs="Times New Roman"/>
          <w:color w:val="000000"/>
          <w:sz w:val="24"/>
          <w:szCs w:val="24"/>
        </w:rPr>
        <w:t xml:space="preserve">ile revelations </w:t>
      </w:r>
      <w:r>
        <w:rPr>
          <w:rFonts w:ascii="Times New Roman" w:eastAsia="Times New Roman" w:hAnsi="Times New Roman" w:cs="Times New Roman"/>
          <w:color w:val="000000"/>
          <w:sz w:val="24"/>
          <w:szCs w:val="24"/>
        </w:rPr>
        <w:t>are</w:t>
      </w:r>
      <w:r w:rsidRPr="00D352DC">
        <w:rPr>
          <w:rFonts w:ascii="Times New Roman" w:eastAsia="Times New Roman" w:hAnsi="Times New Roman" w:cs="Times New Roman"/>
          <w:color w:val="000000"/>
          <w:sz w:val="24"/>
          <w:szCs w:val="24"/>
        </w:rPr>
        <w:t xml:space="preserve"> the primary symbolic efforts to come to terms with the past, and </w:t>
      </w:r>
      <w:r>
        <w:rPr>
          <w:rFonts w:ascii="Times New Roman" w:eastAsia="Times New Roman" w:hAnsi="Times New Roman" w:cs="Times New Roman"/>
          <w:color w:val="000000"/>
          <w:sz w:val="24"/>
          <w:szCs w:val="24"/>
        </w:rPr>
        <w:t>catalyze</w:t>
      </w:r>
      <w:r w:rsidRPr="00D352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potential </w:t>
      </w:r>
      <w:r w:rsidRPr="00D352DC">
        <w:rPr>
          <w:rFonts w:ascii="Times New Roman" w:eastAsia="Times New Roman" w:hAnsi="Times New Roman" w:cs="Times New Roman"/>
          <w:color w:val="000000"/>
          <w:sz w:val="24"/>
          <w:szCs w:val="24"/>
        </w:rPr>
        <w:t xml:space="preserve">bureaucratic change. </w:t>
      </w:r>
      <w:r>
        <w:rPr>
          <w:rFonts w:ascii="Times New Roman" w:eastAsia="Times New Roman" w:hAnsi="Times New Roman" w:cs="Times New Roman"/>
          <w:color w:val="000000"/>
          <w:sz w:val="24"/>
          <w:szCs w:val="24"/>
        </w:rPr>
        <w:t xml:space="preserve">This is less than the bureaucratic change effected in other post-communist states with more formal and exclusionary lustration laws. By contrast, Albania </w:t>
      </w:r>
      <w:r w:rsidRPr="00D352DC">
        <w:rPr>
          <w:rFonts w:ascii="Times New Roman" w:eastAsia="Times New Roman" w:hAnsi="Times New Roman" w:cs="Times New Roman"/>
          <w:color w:val="000000"/>
          <w:sz w:val="24"/>
          <w:szCs w:val="24"/>
        </w:rPr>
        <w:t>largely terminated any remaining</w:t>
      </w:r>
      <w:r>
        <w:rPr>
          <w:rFonts w:ascii="Times New Roman" w:eastAsia="Times New Roman" w:hAnsi="Times New Roman" w:cs="Times New Roman"/>
          <w:color w:val="000000"/>
          <w:sz w:val="24"/>
          <w:szCs w:val="24"/>
        </w:rPr>
        <w:t xml:space="preserve"> efforts to deal with the past.</w:t>
      </w:r>
      <w:r w:rsidRPr="00D352DC">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The next section compares the politicization of transitional justice in several post-communist countries to elucidate some of the delays in and misuse of measures.</w:t>
      </w:r>
    </w:p>
    <w:p w:rsidR="00CF52CA" w:rsidRPr="006620E5" w:rsidRDefault="00CF52CA" w:rsidP="00CF52CA">
      <w:pPr>
        <w:spacing w:after="0" w:line="480" w:lineRule="auto"/>
        <w:ind w:firstLine="720"/>
        <w:rPr>
          <w:rFonts w:ascii="Times New Roman" w:hAnsi="Times New Roman" w:cs="Times New Roman"/>
          <w:b/>
          <w:i/>
          <w:color w:val="000000"/>
          <w:sz w:val="24"/>
          <w:szCs w:val="24"/>
        </w:rPr>
      </w:pPr>
      <w:r w:rsidRPr="006620E5">
        <w:rPr>
          <w:rFonts w:ascii="Times New Roman" w:hAnsi="Times New Roman" w:cs="Times New Roman"/>
          <w:b/>
          <w:i/>
          <w:color w:val="000000"/>
          <w:sz w:val="24"/>
          <w:szCs w:val="24"/>
        </w:rPr>
        <w:t>Political parties and manipulation</w:t>
      </w:r>
    </w:p>
    <w:p w:rsidR="00CF52CA" w:rsidRDefault="00CF52CA" w:rsidP="00CF52C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Lustration and file disclosure policies are politically sensitive, with potential political blowback from the disclosure of complicity</w:t>
      </w:r>
      <w:r w:rsidRPr="002B3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the previous regime. </w:t>
      </w:r>
      <w:proofErr w:type="spellStart"/>
      <w:r>
        <w:rPr>
          <w:rFonts w:ascii="Times New Roman" w:hAnsi="Times New Roman" w:cs="Times New Roman"/>
          <w:color w:val="000000"/>
          <w:sz w:val="24"/>
          <w:szCs w:val="24"/>
        </w:rPr>
        <w:t>Nalepa</w:t>
      </w:r>
      <w:proofErr w:type="spellEnd"/>
      <w:r>
        <w:rPr>
          <w:rFonts w:ascii="Times New Roman" w:hAnsi="Times New Roman" w:cs="Times New Roman"/>
          <w:color w:val="000000"/>
          <w:sz w:val="24"/>
          <w:szCs w:val="24"/>
        </w:rPr>
        <w:t xml:space="preserve"> documented how fear of public disclosure affected the attitudes of political parties at the Round Table talks in Poland in 1989, and post-communist attitudes toward transitional justice in Czechoslovakia and Hungary.</w:t>
      </w:r>
      <w:r>
        <w:rPr>
          <w:rStyle w:val="FootnoteReference"/>
          <w:rFonts w:ascii="Times New Roman" w:hAnsi="Times New Roman" w:cs="Times New Roman"/>
          <w:color w:val="000000"/>
          <w:sz w:val="24"/>
          <w:szCs w:val="24"/>
        </w:rPr>
        <w:footnoteReference w:id="25"/>
      </w:r>
      <w:r>
        <w:rPr>
          <w:rFonts w:ascii="Times New Roman" w:hAnsi="Times New Roman" w:cs="Times New Roman"/>
          <w:color w:val="000000"/>
          <w:sz w:val="24"/>
          <w:szCs w:val="24"/>
        </w:rPr>
        <w:t xml:space="preserve"> There is evidence that the political orientation of the dominant party affected the initiation and content of lustration laws, with parties dominated by former communist elites and secret police informants disinclined toward lustration and public disclosure. In many post-communist countries, lustration laws have been wielded by parties in an attempt to potentially discredit opponent parties in the eyes of voters.</w:t>
      </w:r>
      <w:r>
        <w:rPr>
          <w:rStyle w:val="FootnoteReference"/>
          <w:rFonts w:ascii="Times New Roman" w:hAnsi="Times New Roman" w:cs="Times New Roman"/>
          <w:color w:val="000000"/>
          <w:sz w:val="24"/>
          <w:szCs w:val="24"/>
        </w:rPr>
        <w:footnoteReference w:id="26"/>
      </w:r>
      <w:r>
        <w:rPr>
          <w:rFonts w:ascii="Times New Roman" w:hAnsi="Times New Roman" w:cs="Times New Roman"/>
          <w:color w:val="000000"/>
          <w:sz w:val="24"/>
          <w:szCs w:val="24"/>
        </w:rPr>
        <w:t xml:space="preserve"> This was true in the case of Romania, where</w:t>
      </w:r>
      <w:r w:rsidRPr="00D352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vacillations in support for transitional justice and accountability made for a politicized, and at times questionable, transitional justice experience.</w:t>
      </w:r>
      <w:r>
        <w:rPr>
          <w:rStyle w:val="FootnoteReference"/>
          <w:rFonts w:ascii="Times New Roman" w:hAnsi="Times New Roman" w:cs="Times New Roman"/>
          <w:color w:val="000000"/>
          <w:sz w:val="24"/>
          <w:szCs w:val="24"/>
        </w:rPr>
        <w:footnoteReference w:id="27"/>
      </w:r>
      <w:r>
        <w:rPr>
          <w:rFonts w:ascii="Times New Roman" w:hAnsi="Times New Roman" w:cs="Times New Roman"/>
          <w:color w:val="000000"/>
          <w:sz w:val="24"/>
          <w:szCs w:val="24"/>
        </w:rPr>
        <w:t xml:space="preserve"> No one party was to blame for stymieing lustration, for as Stan noted, opposition to lustration came from parties across the political spectrum.</w:t>
      </w:r>
      <w:r>
        <w:rPr>
          <w:rStyle w:val="FootnoteReference"/>
          <w:rFonts w:ascii="Times New Roman" w:hAnsi="Times New Roman" w:cs="Times New Roman"/>
          <w:color w:val="000000"/>
          <w:sz w:val="24"/>
          <w:szCs w:val="24"/>
        </w:rPr>
        <w:footnoteReference w:id="28"/>
      </w:r>
      <w:r>
        <w:rPr>
          <w:rFonts w:ascii="Times New Roman" w:hAnsi="Times New Roman" w:cs="Times New Roman"/>
          <w:color w:val="000000"/>
          <w:sz w:val="24"/>
          <w:szCs w:val="24"/>
        </w:rPr>
        <w:t xml:space="preserve"> The instrumental manipulation of measures in Romania affected implementation and perceived legitimacy.</w:t>
      </w:r>
    </w:p>
    <w:p w:rsidR="00CF52CA" w:rsidRDefault="00CF52CA" w:rsidP="00CF52C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Senator </w:t>
      </w:r>
      <w:proofErr w:type="spellStart"/>
      <w:r w:rsidRPr="00F42C9D">
        <w:rPr>
          <w:rFonts w:ascii="Times New Roman" w:hAnsi="Times New Roman" w:cs="Times New Roman"/>
          <w:color w:val="000000"/>
          <w:sz w:val="24"/>
          <w:szCs w:val="24"/>
        </w:rPr>
        <w:t>Ticu</w:t>
      </w:r>
      <w:proofErr w:type="spellEnd"/>
      <w:r w:rsidRPr="00F42C9D">
        <w:rPr>
          <w:rFonts w:ascii="Times New Roman" w:hAnsi="Times New Roman" w:cs="Times New Roman"/>
          <w:color w:val="000000"/>
          <w:sz w:val="24"/>
          <w:szCs w:val="24"/>
        </w:rPr>
        <w:t xml:space="preserve"> </w:t>
      </w:r>
      <w:proofErr w:type="spellStart"/>
      <w:r w:rsidRPr="00F42C9D">
        <w:rPr>
          <w:rFonts w:ascii="Times New Roman" w:hAnsi="Times New Roman" w:cs="Times New Roman"/>
          <w:color w:val="000000"/>
          <w:sz w:val="24"/>
          <w:szCs w:val="24"/>
        </w:rPr>
        <w:t>Dumitrescu</w:t>
      </w:r>
      <w:proofErr w:type="spellEnd"/>
      <w:r>
        <w:rPr>
          <w:rFonts w:ascii="Times New Roman" w:hAnsi="Times New Roman" w:cs="Times New Roman"/>
          <w:color w:val="000000"/>
          <w:sz w:val="24"/>
          <w:szCs w:val="24"/>
        </w:rPr>
        <w:t xml:space="preserve"> originally </w:t>
      </w:r>
      <w:r w:rsidRPr="00F42C9D">
        <w:rPr>
          <w:rFonts w:ascii="Times New Roman" w:hAnsi="Times New Roman" w:cs="Times New Roman"/>
          <w:color w:val="000000"/>
          <w:sz w:val="24"/>
          <w:szCs w:val="24"/>
        </w:rPr>
        <w:t xml:space="preserve">proposed </w:t>
      </w:r>
      <w:r>
        <w:rPr>
          <w:rFonts w:ascii="Times New Roman" w:hAnsi="Times New Roman" w:cs="Times New Roman"/>
          <w:color w:val="000000"/>
          <w:sz w:val="24"/>
          <w:szCs w:val="24"/>
        </w:rPr>
        <w:t xml:space="preserve">a lustration type measure </w:t>
      </w:r>
      <w:r w:rsidRPr="00F42C9D">
        <w:rPr>
          <w:rFonts w:ascii="Times New Roman" w:hAnsi="Times New Roman" w:cs="Times New Roman"/>
          <w:color w:val="000000"/>
          <w:sz w:val="24"/>
          <w:szCs w:val="24"/>
        </w:rPr>
        <w:t>in 1993</w:t>
      </w:r>
      <w:r>
        <w:rPr>
          <w:rFonts w:ascii="Times New Roman" w:hAnsi="Times New Roman" w:cs="Times New Roman"/>
          <w:color w:val="000000"/>
          <w:sz w:val="24"/>
          <w:szCs w:val="24"/>
        </w:rPr>
        <w:t>, but it was rejected by the left-</w:t>
      </w:r>
      <w:r w:rsidRPr="00F42C9D">
        <w:rPr>
          <w:rFonts w:ascii="Times New Roman" w:hAnsi="Times New Roman" w:cs="Times New Roman"/>
          <w:color w:val="000000"/>
          <w:sz w:val="24"/>
          <w:szCs w:val="24"/>
        </w:rPr>
        <w:t xml:space="preserve">dominated parliament, </w:t>
      </w:r>
      <w:r>
        <w:rPr>
          <w:rFonts w:ascii="Times New Roman" w:hAnsi="Times New Roman" w:cs="Times New Roman"/>
          <w:color w:val="000000"/>
          <w:sz w:val="24"/>
          <w:szCs w:val="24"/>
        </w:rPr>
        <w:t>and then</w:t>
      </w:r>
      <w:r w:rsidRPr="00F42C9D">
        <w:rPr>
          <w:rFonts w:ascii="Times New Roman" w:hAnsi="Times New Roman" w:cs="Times New Roman"/>
          <w:color w:val="000000"/>
          <w:sz w:val="24"/>
          <w:szCs w:val="24"/>
        </w:rPr>
        <w:t xml:space="preserve"> reconsidered in 1996 under the center-right government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9"/>
      </w:r>
      <w:r w:rsidRPr="00F42C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significantly modified version</w:t>
      </w:r>
      <w:r w:rsidRPr="00F42C9D">
        <w:rPr>
          <w:rFonts w:ascii="Times New Roman" w:hAnsi="Times New Roman" w:cs="Times New Roman"/>
          <w:color w:val="000000"/>
          <w:sz w:val="24"/>
          <w:szCs w:val="24"/>
        </w:rPr>
        <w:t xml:space="preserve"> finally passed in 1999</w:t>
      </w:r>
      <w:r>
        <w:rPr>
          <w:rFonts w:ascii="Times New Roman" w:hAnsi="Times New Roman" w:cs="Times New Roman"/>
          <w:color w:val="000000"/>
          <w:sz w:val="24"/>
          <w:szCs w:val="24"/>
        </w:rPr>
        <w:t>,</w:t>
      </w:r>
      <w:r w:rsidRPr="00F42C9D">
        <w:rPr>
          <w:rFonts w:ascii="Times New Roman" w:hAnsi="Times New Roman" w:cs="Times New Roman"/>
          <w:color w:val="000000"/>
          <w:sz w:val="24"/>
          <w:szCs w:val="24"/>
        </w:rPr>
        <w:t xml:space="preserve"> surviving attempts to block the measure by members of </w:t>
      </w:r>
      <w:proofErr w:type="spellStart"/>
      <w:r w:rsidRPr="00F42C9D">
        <w:rPr>
          <w:rFonts w:ascii="Times New Roman" w:hAnsi="Times New Roman" w:cs="Times New Roman"/>
          <w:color w:val="000000"/>
          <w:sz w:val="24"/>
          <w:szCs w:val="24"/>
        </w:rPr>
        <w:t>Dumitrescu’s</w:t>
      </w:r>
      <w:proofErr w:type="spellEnd"/>
      <w:r w:rsidRPr="00F42C9D">
        <w:rPr>
          <w:rFonts w:ascii="Times New Roman" w:hAnsi="Times New Roman" w:cs="Times New Roman"/>
          <w:color w:val="000000"/>
          <w:sz w:val="24"/>
          <w:szCs w:val="24"/>
        </w:rPr>
        <w:t xml:space="preserve"> own National Peasant Party</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0"/>
      </w:r>
      <w:r>
        <w:rPr>
          <w:rFonts w:ascii="Times New Roman" w:hAnsi="Times New Roman" w:cs="Times New Roman"/>
          <w:color w:val="000000"/>
          <w:sz w:val="24"/>
          <w:szCs w:val="24"/>
        </w:rPr>
        <w:t xml:space="preserve"> Parliament modified the standing lustration law in 2006, but two years later the Constitutional </w:t>
      </w:r>
      <w:r>
        <w:rPr>
          <w:rFonts w:ascii="Times New Roman" w:hAnsi="Times New Roman" w:cs="Times New Roman"/>
          <w:color w:val="000000"/>
          <w:sz w:val="24"/>
          <w:szCs w:val="24"/>
        </w:rPr>
        <w:lastRenderedPageBreak/>
        <w:t>Court struck down the modifications and the original 1999 law. Renewed and highly contested lustration efforts in 2010 resurrected elements of the 2006 law, but they were also struck down by the Court in 2010.</w:t>
      </w:r>
      <w:r>
        <w:rPr>
          <w:rStyle w:val="FootnoteReference"/>
          <w:rFonts w:ascii="Times New Roman" w:hAnsi="Times New Roman" w:cs="Times New Roman"/>
          <w:color w:val="000000"/>
          <w:sz w:val="24"/>
          <w:szCs w:val="24"/>
        </w:rPr>
        <w:footnoteReference w:id="31"/>
      </w:r>
      <w:r>
        <w:rPr>
          <w:rFonts w:ascii="Times New Roman" w:hAnsi="Times New Roman" w:cs="Times New Roman"/>
          <w:color w:val="000000"/>
          <w:sz w:val="24"/>
          <w:szCs w:val="24"/>
        </w:rPr>
        <w:t xml:space="preserve"> In 2012 another lustration law was passed despite opposition from parties across the political spectrum, but prior to implementation the Court struck it down that as well. A legislatively active Constitutional Court significantly shaped transitional justice in Romania.</w:t>
      </w:r>
      <w:r>
        <w:rPr>
          <w:rStyle w:val="FootnoteReference"/>
          <w:rFonts w:ascii="Times New Roman" w:hAnsi="Times New Roman" w:cs="Times New Roman"/>
          <w:color w:val="000000"/>
          <w:sz w:val="24"/>
          <w:szCs w:val="24"/>
        </w:rPr>
        <w:footnoteReference w:id="32"/>
      </w:r>
    </w:p>
    <w:p w:rsidR="00CF52CA" w:rsidRDefault="00CF52CA" w:rsidP="00CF52C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Constitutional Courts have been active in lustration and transitional justice issues across the post-communist region in Bulgaria, Poland, Hungary and Albania. The Hungarian Court struck down the retroactive justice components of lustration, significantly limiting the lustration implemented in Hungary, at the same time the Czechoslovak Constitutional Court ruled in favor of similar measures.</w:t>
      </w:r>
      <w:r>
        <w:rPr>
          <w:rStyle w:val="FootnoteReference"/>
          <w:rFonts w:ascii="Times New Roman" w:hAnsi="Times New Roman" w:cs="Times New Roman"/>
          <w:color w:val="000000"/>
          <w:sz w:val="24"/>
          <w:szCs w:val="24"/>
        </w:rPr>
        <w:footnoteReference w:id="33"/>
      </w:r>
      <w:r>
        <w:rPr>
          <w:rFonts w:ascii="Times New Roman" w:hAnsi="Times New Roman" w:cs="Times New Roman"/>
          <w:color w:val="000000"/>
          <w:sz w:val="24"/>
          <w:szCs w:val="24"/>
        </w:rPr>
        <w:t xml:space="preserve"> The highly activist Polish Constitutional Court ruled on the admissibility or lack of constitutionality of lustration-type measures on more than one occasion. The communist appointees in the Bulgarian Constitutional Court ruled on the unconstitutionality of the first lustration provisions, the Law on Banking and Credit (1992) and the </w:t>
      </w:r>
      <w:proofErr w:type="spellStart"/>
      <w:r>
        <w:rPr>
          <w:rFonts w:ascii="Times New Roman" w:hAnsi="Times New Roman" w:cs="Times New Roman"/>
          <w:color w:val="000000"/>
          <w:sz w:val="24"/>
          <w:szCs w:val="24"/>
        </w:rPr>
        <w:t>Panev</w:t>
      </w:r>
      <w:proofErr w:type="spellEnd"/>
      <w:r>
        <w:rPr>
          <w:rFonts w:ascii="Times New Roman" w:hAnsi="Times New Roman" w:cs="Times New Roman"/>
          <w:color w:val="000000"/>
          <w:sz w:val="24"/>
          <w:szCs w:val="24"/>
        </w:rPr>
        <w:t xml:space="preserve"> bill, soon after their passage.</w:t>
      </w:r>
      <w:r>
        <w:rPr>
          <w:rStyle w:val="FootnoteReference"/>
          <w:rFonts w:ascii="Times New Roman" w:hAnsi="Times New Roman" w:cs="Times New Roman"/>
          <w:color w:val="000000"/>
          <w:sz w:val="24"/>
          <w:szCs w:val="24"/>
        </w:rPr>
        <w:footnoteReference w:id="34"/>
      </w:r>
      <w:r>
        <w:rPr>
          <w:rFonts w:ascii="Times New Roman" w:hAnsi="Times New Roman" w:cs="Times New Roman"/>
          <w:color w:val="000000"/>
          <w:sz w:val="24"/>
          <w:szCs w:val="24"/>
        </w:rPr>
        <w:t xml:space="preserve"> Albania’s Constitutional Court struck down the last effort at passing lustration: the Clean Hand’s Bill.</w:t>
      </w:r>
      <w:r>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In a word, while Romania’s Constitutional Court has been politically interventionist on the topic of lustration, it was not regionally anomalous.</w:t>
      </w:r>
    </w:p>
    <w:p w:rsidR="00CF52CA" w:rsidRDefault="00CF52CA" w:rsidP="00CF52CA">
      <w:pPr>
        <w:spacing w:after="0" w:line="480" w:lineRule="auto"/>
        <w:ind w:firstLine="720"/>
        <w:rPr>
          <w:rFonts w:ascii="Times New Roman" w:hAnsi="Times New Roman" w:cs="Times New Roman"/>
          <w:bCs/>
          <w:sz w:val="24"/>
          <w:szCs w:val="24"/>
          <w:shd w:val="clear" w:color="auto" w:fill="FFFFFF"/>
        </w:rPr>
      </w:pPr>
      <w:r>
        <w:rPr>
          <w:rFonts w:ascii="Times New Roman" w:hAnsi="Times New Roman" w:cs="Times New Roman"/>
          <w:color w:val="000000"/>
          <w:sz w:val="24"/>
          <w:szCs w:val="24"/>
        </w:rPr>
        <w:t xml:space="preserve">Political parties also played a heavy hand influencing both the passage and the blockage of transitional justice measures in Romania. Table 3.2 pairs some transitional justice measures alongside the dominant political party in Parliament. Between 1990 and 1996 both the ruling </w:t>
      </w:r>
      <w:r>
        <w:rPr>
          <w:rFonts w:ascii="Times New Roman" w:hAnsi="Times New Roman" w:cs="Times New Roman"/>
          <w:color w:val="000000"/>
          <w:sz w:val="24"/>
          <w:szCs w:val="24"/>
        </w:rPr>
        <w:lastRenderedPageBreak/>
        <w:t>government and the opposition blocked lustration efforts. As Table 3.2 illustrates, support for or rejection of lustration cannot be simplistically explained as a function of the political orientation of the party in power. Center-left and center-right party coalitions have been in power and neither has adopted a single approach—either for or against—transitional justice measures. The 2006 law in particular was highly contentious and largely opposed by parties comprised of many former Communist Party members. However, it was backed by the National Liberal Party, wh</w:t>
      </w:r>
      <w:bookmarkStart w:id="0" w:name="_GoBack"/>
      <w:bookmarkEnd w:id="0"/>
      <w:r>
        <w:rPr>
          <w:rFonts w:ascii="Times New Roman" w:hAnsi="Times New Roman" w:cs="Times New Roman"/>
          <w:color w:val="000000"/>
          <w:sz w:val="24"/>
          <w:szCs w:val="24"/>
        </w:rPr>
        <w:t>ich would have been negatively affected by lustration du</w:t>
      </w:r>
      <w:r w:rsidRPr="000E3D97">
        <w:rPr>
          <w:rFonts w:ascii="Times New Roman" w:hAnsi="Times New Roman" w:cs="Times New Roman"/>
          <w:color w:val="000000"/>
          <w:sz w:val="24"/>
          <w:szCs w:val="24"/>
        </w:rPr>
        <w:t>e to the known collaborators</w:t>
      </w:r>
      <w:r>
        <w:rPr>
          <w:rFonts w:ascii="Times New Roman" w:hAnsi="Times New Roman" w:cs="Times New Roman"/>
          <w:color w:val="000000"/>
          <w:sz w:val="24"/>
          <w:szCs w:val="24"/>
        </w:rPr>
        <w:t xml:space="preserve"> in their ranks, including the</w:t>
      </w:r>
      <w:r w:rsidRPr="000E3D97">
        <w:rPr>
          <w:rFonts w:ascii="Times New Roman" w:hAnsi="Times New Roman" w:cs="Times New Roman"/>
          <w:color w:val="000000"/>
          <w:sz w:val="24"/>
          <w:szCs w:val="24"/>
        </w:rPr>
        <w:t xml:space="preserve"> popular minister of culture Mona Musca.</w:t>
      </w:r>
      <w:r>
        <w:rPr>
          <w:rStyle w:val="FootnoteReference"/>
          <w:rFonts w:ascii="Times New Roman" w:hAnsi="Times New Roman" w:cs="Times New Roman"/>
          <w:color w:val="000000"/>
          <w:sz w:val="24"/>
          <w:szCs w:val="24"/>
        </w:rPr>
        <w:footnoteReference w:id="36"/>
      </w:r>
      <w:r w:rsidRPr="000E3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While there is clear evidence of political gaming of transitional justice measures in Romania, </w:t>
      </w:r>
      <w:r w:rsidRPr="00095572">
        <w:rPr>
          <w:rFonts w:ascii="Times New Roman" w:hAnsi="Times New Roman" w:cs="Times New Roman"/>
          <w:bCs/>
          <w:sz w:val="24"/>
          <w:szCs w:val="24"/>
          <w:shd w:val="clear" w:color="auto" w:fill="FFFFFF"/>
        </w:rPr>
        <w:t>party affiliations or communist legacies cannot explain neatly the presence or absence of transitional justice measures over time.</w:t>
      </w:r>
    </w:p>
    <w:p w:rsidR="00CF52CA" w:rsidRDefault="00CF52CA" w:rsidP="00CF52C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To put Romania’s experience in regional context, in Poland there is also evidence of significant party involvement in lustration debates. Although the first parliamentary motion on lustration was adopted in 1989, it was not until 1996 that a draft lustration law passed the Polish Parliament and it took effect only in 1997. After final passage, the Polish Constitutional Court, political parties and even the president weighed in both positively and negatively on aspects of lustration, resulting in what some described as “no lustration at all” up until the passage of the 2006 expanded lustration provisions.</w:t>
      </w:r>
      <w:r>
        <w:rPr>
          <w:rStyle w:val="FootnoteReference"/>
          <w:rFonts w:ascii="Times New Roman" w:hAnsi="Times New Roman" w:cs="Times New Roman"/>
          <w:color w:val="000000"/>
          <w:sz w:val="24"/>
          <w:szCs w:val="24"/>
        </w:rPr>
        <w:footnoteReference w:id="37"/>
      </w:r>
      <w:r>
        <w:rPr>
          <w:rFonts w:ascii="Times New Roman" w:hAnsi="Times New Roman" w:cs="Times New Roman"/>
          <w:color w:val="000000"/>
          <w:sz w:val="24"/>
          <w:szCs w:val="24"/>
        </w:rPr>
        <w:t xml:space="preserve"> Even that version of the law was politically contentious, with the Constitutional Court striking down some elements of that law.</w:t>
      </w:r>
      <w:r>
        <w:rPr>
          <w:rStyle w:val="FootnoteReference"/>
          <w:rFonts w:ascii="Times New Roman" w:hAnsi="Times New Roman" w:cs="Times New Roman"/>
          <w:color w:val="000000"/>
          <w:sz w:val="24"/>
          <w:szCs w:val="24"/>
        </w:rPr>
        <w:footnoteReference w:id="38"/>
      </w:r>
    </w:p>
    <w:p w:rsidR="00CF52CA" w:rsidRDefault="00CF52CA" w:rsidP="00CF52CA">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INSERT TABLE 3.2 HERE</w:t>
      </w:r>
    </w:p>
    <w:p w:rsidR="00CF52CA" w:rsidRPr="00806E4A" w:rsidRDefault="00CF52CA" w:rsidP="00CF52CA">
      <w:pPr>
        <w:spacing w:after="0" w:line="480" w:lineRule="auto"/>
        <w:ind w:firstLine="720"/>
        <w:rPr>
          <w:rFonts w:ascii="Times New Roman" w:hAnsi="Times New Roman" w:cs="Times New Roman"/>
          <w:b/>
        </w:rPr>
      </w:pPr>
      <w:r>
        <w:rPr>
          <w:rFonts w:ascii="Times New Roman" w:hAnsi="Times New Roman" w:cs="Times New Roman"/>
          <w:color w:val="000000"/>
          <w:sz w:val="24"/>
          <w:szCs w:val="24"/>
        </w:rPr>
        <w:t xml:space="preserve">Table 3.3 compares the immediate post-transition political environment in Hungary, Poland and Czechoslovakia, helping to contextualize the Romanian experience. As it shows, </w:t>
      </w:r>
      <w:r>
        <w:rPr>
          <w:rFonts w:ascii="Times New Roman" w:hAnsi="Times New Roman" w:cs="Times New Roman"/>
          <w:color w:val="000000"/>
          <w:sz w:val="24"/>
          <w:szCs w:val="24"/>
        </w:rPr>
        <w:lastRenderedPageBreak/>
        <w:t>support for transitional justice fluctuated in Hungary and Poland, depending on the orientation of the dominant party, but remained relatively constant in the Czech Republic. Lustration measures were both rejected and expanded in Hungary under the socialist/former communist led government in 1994. The very polarized elections of 2002 yielding a slim socialist majority, and corresponded with an expansion of file access information. At one point the radical populist Hungarian Justice and Life Party (MIEP) proposed an expansion of screening measures, and at other times the Socialist-Free Democrat coalition and the opposition parties FIDESZ and the Hungarian Democratic Forum (MDF) proposed expansion of lustration and citizen access.</w:t>
      </w:r>
      <w:r>
        <w:rPr>
          <w:rStyle w:val="FootnoteReference"/>
          <w:rFonts w:ascii="Times New Roman" w:hAnsi="Times New Roman" w:cs="Times New Roman"/>
          <w:color w:val="000000"/>
          <w:sz w:val="24"/>
          <w:szCs w:val="24"/>
        </w:rPr>
        <w:footnoteReference w:id="39"/>
      </w:r>
      <w:r>
        <w:rPr>
          <w:rFonts w:ascii="Times New Roman" w:hAnsi="Times New Roman" w:cs="Times New Roman"/>
          <w:color w:val="000000"/>
          <w:sz w:val="24"/>
          <w:szCs w:val="24"/>
        </w:rPr>
        <w:t xml:space="preserve"> In places with strong hold over communist legacy parties, there has been both rejection of and support for lustration and file access at different times. For example, the Bulgarian Socialist Party (BSP) led government passed the 2006 public disclosure/lustration law and appointed Chairman </w:t>
      </w:r>
      <w:proofErr w:type="spellStart"/>
      <w:r>
        <w:rPr>
          <w:rFonts w:ascii="Times New Roman" w:hAnsi="Times New Roman" w:cs="Times New Roman"/>
          <w:color w:val="000000"/>
          <w:sz w:val="24"/>
          <w:szCs w:val="24"/>
        </w:rPr>
        <w:t>Evtim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Kostadinov</w:t>
      </w:r>
      <w:proofErr w:type="spellEnd"/>
      <w:r>
        <w:rPr>
          <w:rFonts w:ascii="Times New Roman" w:hAnsi="Times New Roman" w:cs="Times New Roman"/>
          <w:color w:val="000000"/>
          <w:sz w:val="24"/>
          <w:szCs w:val="24"/>
        </w:rPr>
        <w:t xml:space="preserve"> as head of the Dossier Commission.</w:t>
      </w:r>
      <w:r>
        <w:rPr>
          <w:rStyle w:val="FootnoteReference"/>
          <w:rFonts w:ascii="Times New Roman" w:hAnsi="Times New Roman" w:cs="Times New Roman"/>
          <w:color w:val="000000"/>
          <w:sz w:val="24"/>
          <w:szCs w:val="24"/>
        </w:rPr>
        <w:footnoteReference w:id="40"/>
      </w:r>
      <w:r>
        <w:rPr>
          <w:rFonts w:ascii="Times New Roman" w:hAnsi="Times New Roman" w:cs="Times New Roman"/>
          <w:color w:val="000000"/>
          <w:sz w:val="24"/>
          <w:szCs w:val="24"/>
        </w:rPr>
        <w:t xml:space="preserve"> Under his leadership, Bulgaria embarked on a wide and deep public disclosure program. Political orientation affected attitudes toward lustration but was not deterministic, even in countries considered more forward thinking with respect to transitional justice than Romania. In many ways the absence of overt politicization of the Czech laws looks like the regional outlier rather than Romania.</w:t>
      </w:r>
    </w:p>
    <w:p w:rsidR="00CF52CA" w:rsidRDefault="00CF52CA" w:rsidP="00CF52CA">
      <w:pPr>
        <w:spacing w:after="0" w:line="480" w:lineRule="auto"/>
        <w:ind w:firstLine="720"/>
        <w:rPr>
          <w:rFonts w:ascii="Times New Roman" w:hAnsi="Times New Roman" w:cs="Times New Roman"/>
          <w:color w:val="000000"/>
          <w:sz w:val="24"/>
          <w:szCs w:val="24"/>
        </w:rPr>
      </w:pPr>
      <w:r w:rsidRPr="00D352DC">
        <w:rPr>
          <w:rFonts w:ascii="Times New Roman" w:hAnsi="Times New Roman" w:cs="Times New Roman"/>
          <w:sz w:val="24"/>
          <w:szCs w:val="24"/>
        </w:rPr>
        <w:t xml:space="preserve">In sum, </w:t>
      </w:r>
      <w:r>
        <w:rPr>
          <w:rFonts w:ascii="Times New Roman" w:eastAsia="Times New Roman" w:hAnsi="Times New Roman" w:cs="Times New Roman"/>
          <w:color w:val="000000"/>
          <w:sz w:val="24"/>
          <w:szCs w:val="24"/>
        </w:rPr>
        <w:t xml:space="preserve">the first section of this chapter considered the timing, passage, implementation, and politicization of measures in three Balkan countries in order to </w:t>
      </w:r>
      <w:r w:rsidRPr="00D352DC">
        <w:rPr>
          <w:rFonts w:ascii="Times New Roman" w:eastAsia="Times New Roman" w:hAnsi="Times New Roman" w:cs="Times New Roman"/>
          <w:color w:val="000000"/>
          <w:sz w:val="24"/>
          <w:szCs w:val="24"/>
        </w:rPr>
        <w:t xml:space="preserve">contextualize </w:t>
      </w:r>
      <w:r>
        <w:rPr>
          <w:rFonts w:ascii="Times New Roman" w:eastAsia="Times New Roman" w:hAnsi="Times New Roman" w:cs="Times New Roman"/>
          <w:color w:val="000000"/>
          <w:sz w:val="24"/>
          <w:szCs w:val="24"/>
        </w:rPr>
        <w:t>Romania’s experience with transitional justice. I</w:t>
      </w:r>
      <w:r w:rsidRPr="00D352DC">
        <w:rPr>
          <w:rFonts w:ascii="Times New Roman" w:hAnsi="Times New Roman" w:cs="Times New Roman"/>
          <w:sz w:val="24"/>
          <w:szCs w:val="24"/>
        </w:rPr>
        <w:t>f one were to assess transitional justice measures in the region simply based on whether a lustration law was in place</w:t>
      </w:r>
      <w:r>
        <w:rPr>
          <w:rFonts w:ascii="Times New Roman" w:hAnsi="Times New Roman" w:cs="Times New Roman"/>
          <w:sz w:val="24"/>
          <w:szCs w:val="24"/>
        </w:rPr>
        <w:t xml:space="preserve"> and according to which country passed a law first, then Romania would look like the Balkan laggard.</w:t>
      </w:r>
      <w:r w:rsidRPr="00D352DC">
        <w:rPr>
          <w:rFonts w:ascii="Times New Roman" w:hAnsi="Times New Roman" w:cs="Times New Roman"/>
          <w:sz w:val="24"/>
          <w:szCs w:val="24"/>
        </w:rPr>
        <w:t xml:space="preserve"> How</w:t>
      </w:r>
      <w:r>
        <w:rPr>
          <w:rFonts w:ascii="Times New Roman" w:hAnsi="Times New Roman" w:cs="Times New Roman"/>
          <w:sz w:val="24"/>
          <w:szCs w:val="24"/>
        </w:rPr>
        <w:t xml:space="preserve">ever, on closer inspection both the timing and the implementation of measures in Romania mirrored those in </w:t>
      </w:r>
      <w:r>
        <w:rPr>
          <w:rFonts w:ascii="Times New Roman" w:hAnsi="Times New Roman" w:cs="Times New Roman"/>
          <w:sz w:val="24"/>
          <w:szCs w:val="24"/>
        </w:rPr>
        <w:lastRenderedPageBreak/>
        <w:t xml:space="preserve">Bulgaria and significantly outpaced the lack of measures in Albania. Moreover, </w:t>
      </w:r>
      <w:r>
        <w:rPr>
          <w:rFonts w:ascii="Times New Roman" w:hAnsi="Times New Roman" w:cs="Times New Roman"/>
          <w:color w:val="000000"/>
          <w:sz w:val="24"/>
          <w:szCs w:val="24"/>
        </w:rPr>
        <w:t>the political manipulation of transitional justice was not a Romanian phenomenon; the same could also be said of Bulgaria, Poland and Hungary. Although Romania has not been as successful with its transitional justice measures as it could have been, it is neither a regional outlier nor extraordinary. Unfortunately, Romania’s missed opportunities with transitional justice, politicization of measures, and implementation delays were echoed in other post-communist experiences as well. The next section turns to an evaluation of transition goals in Romania, again placing its progress in regional context.</w:t>
      </w:r>
    </w:p>
    <w:p w:rsidR="00CF52CA" w:rsidRPr="009C00FD" w:rsidRDefault="00CF52CA" w:rsidP="00CF52CA">
      <w:pPr>
        <w:spacing w:after="0" w:line="480" w:lineRule="auto"/>
        <w:jc w:val="center"/>
        <w:rPr>
          <w:rFonts w:ascii="Times New Roman" w:hAnsi="Times New Roman" w:cs="Times New Roman"/>
          <w:color w:val="000000"/>
          <w:sz w:val="24"/>
          <w:szCs w:val="24"/>
        </w:rPr>
      </w:pPr>
      <w:r w:rsidRPr="009C00FD">
        <w:rPr>
          <w:rFonts w:ascii="Times New Roman" w:hAnsi="Times New Roman" w:cs="Times New Roman"/>
          <w:color w:val="000000"/>
          <w:sz w:val="24"/>
          <w:szCs w:val="24"/>
        </w:rPr>
        <w:t>INSERT TABLE 3.3</w:t>
      </w:r>
      <w:r>
        <w:rPr>
          <w:rFonts w:ascii="Times New Roman" w:hAnsi="Times New Roman" w:cs="Times New Roman"/>
          <w:color w:val="000000"/>
          <w:sz w:val="24"/>
          <w:szCs w:val="24"/>
        </w:rPr>
        <w:t xml:space="preserve"> HERE</w:t>
      </w:r>
    </w:p>
    <w:p w:rsidR="00CF52CA" w:rsidRDefault="00CF52CA" w:rsidP="00CF52CA">
      <w:pPr>
        <w:spacing w:after="0" w:line="480" w:lineRule="auto"/>
        <w:rPr>
          <w:rFonts w:ascii="Times New Roman" w:hAnsi="Times New Roman" w:cs="Times New Roman"/>
          <w:color w:val="000000"/>
          <w:sz w:val="24"/>
          <w:szCs w:val="24"/>
        </w:rPr>
      </w:pPr>
    </w:p>
    <w:p w:rsidR="00CF52CA" w:rsidRPr="0080695B" w:rsidRDefault="00CF52CA" w:rsidP="00CF52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Evaluating transition o</w:t>
      </w:r>
      <w:r w:rsidRPr="0080695B">
        <w:rPr>
          <w:rFonts w:ascii="Times New Roman" w:hAnsi="Times New Roman" w:cs="Times New Roman"/>
          <w:b/>
          <w:sz w:val="24"/>
          <w:szCs w:val="24"/>
        </w:rPr>
        <w:t>utcomes</w:t>
      </w:r>
    </w:p>
    <w:p w:rsidR="00CF52CA" w:rsidRPr="0080695B"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section considers Romania’s progress on s</w:t>
      </w:r>
      <w:r w:rsidRPr="0080695B">
        <w:rPr>
          <w:rFonts w:ascii="Times New Roman" w:hAnsi="Times New Roman" w:cs="Times New Roman"/>
          <w:sz w:val="24"/>
          <w:szCs w:val="24"/>
        </w:rPr>
        <w:t>everal transition goals linked to transitional justice measures like lustration, public disclosures and file access procedures</w:t>
      </w:r>
      <w:r>
        <w:rPr>
          <w:rFonts w:ascii="Times New Roman" w:hAnsi="Times New Roman" w:cs="Times New Roman"/>
          <w:sz w:val="24"/>
          <w:szCs w:val="24"/>
        </w:rPr>
        <w:t>, namely building trust in public institutions,</w:t>
      </w:r>
      <w:r w:rsidRPr="0080695B">
        <w:rPr>
          <w:rFonts w:ascii="Times New Roman" w:hAnsi="Times New Roman" w:cs="Times New Roman"/>
          <w:sz w:val="24"/>
          <w:szCs w:val="24"/>
        </w:rPr>
        <w:t xml:space="preserve"> tackling corruption, and promoting </w:t>
      </w:r>
      <w:r>
        <w:rPr>
          <w:rFonts w:ascii="Times New Roman" w:hAnsi="Times New Roman" w:cs="Times New Roman"/>
          <w:sz w:val="24"/>
          <w:szCs w:val="24"/>
        </w:rPr>
        <w:t>democratization.</w:t>
      </w:r>
      <w:r w:rsidRPr="0080695B">
        <w:rPr>
          <w:rFonts w:ascii="Times New Roman" w:hAnsi="Times New Roman" w:cs="Times New Roman"/>
          <w:sz w:val="24"/>
          <w:szCs w:val="24"/>
        </w:rPr>
        <w:t xml:space="preserve"> </w:t>
      </w:r>
      <w:r>
        <w:rPr>
          <w:rFonts w:ascii="Times New Roman" w:hAnsi="Times New Roman" w:cs="Times New Roman"/>
          <w:sz w:val="24"/>
          <w:szCs w:val="24"/>
        </w:rPr>
        <w:t xml:space="preserve">As with the previous section, </w:t>
      </w:r>
      <w:r w:rsidRPr="0080695B">
        <w:rPr>
          <w:rFonts w:ascii="Times New Roman" w:hAnsi="Times New Roman" w:cs="Times New Roman"/>
          <w:sz w:val="24"/>
          <w:szCs w:val="24"/>
        </w:rPr>
        <w:t>Romania is compared to the regionally proximate cases of Albania and Bulgaria</w:t>
      </w:r>
      <w:r>
        <w:rPr>
          <w:rFonts w:ascii="Times New Roman" w:hAnsi="Times New Roman" w:cs="Times New Roman"/>
          <w:sz w:val="24"/>
          <w:szCs w:val="24"/>
        </w:rPr>
        <w:t>,</w:t>
      </w:r>
      <w:r w:rsidRPr="0080695B">
        <w:rPr>
          <w:rFonts w:ascii="Times New Roman" w:hAnsi="Times New Roman" w:cs="Times New Roman"/>
          <w:sz w:val="24"/>
          <w:szCs w:val="24"/>
        </w:rPr>
        <w:t xml:space="preserve"> as well as the cases of Poland and Hungary</w:t>
      </w:r>
      <w:r>
        <w:rPr>
          <w:rFonts w:ascii="Times New Roman" w:hAnsi="Times New Roman" w:cs="Times New Roman"/>
          <w:sz w:val="24"/>
          <w:szCs w:val="24"/>
        </w:rPr>
        <w:t>,</w:t>
      </w:r>
      <w:r w:rsidRPr="0080695B">
        <w:rPr>
          <w:rFonts w:ascii="Times New Roman" w:hAnsi="Times New Roman" w:cs="Times New Roman"/>
          <w:sz w:val="24"/>
          <w:szCs w:val="24"/>
        </w:rPr>
        <w:t xml:space="preserve"> in order to evaluate </w:t>
      </w:r>
      <w:r>
        <w:rPr>
          <w:rFonts w:ascii="Times New Roman" w:hAnsi="Times New Roman" w:cs="Times New Roman"/>
          <w:sz w:val="24"/>
          <w:szCs w:val="24"/>
        </w:rPr>
        <w:t>possible relationships between transition goals and transitional justice.</w:t>
      </w:r>
    </w:p>
    <w:p w:rsidR="00CF52CA" w:rsidRPr="00F75D8E" w:rsidRDefault="00CF52CA" w:rsidP="00CF52CA">
      <w:pPr>
        <w:spacing w:after="0" w:line="480" w:lineRule="auto"/>
        <w:ind w:firstLine="720"/>
        <w:rPr>
          <w:rFonts w:ascii="Times New Roman" w:hAnsi="Times New Roman" w:cs="Times New Roman"/>
          <w:b/>
          <w:i/>
          <w:sz w:val="24"/>
          <w:szCs w:val="24"/>
        </w:rPr>
      </w:pPr>
      <w:r w:rsidRPr="00F75D8E">
        <w:rPr>
          <w:rFonts w:ascii="Times New Roman" w:hAnsi="Times New Roman" w:cs="Times New Roman"/>
          <w:b/>
          <w:i/>
          <w:sz w:val="24"/>
          <w:szCs w:val="24"/>
        </w:rPr>
        <w:t>Trust in Public Institutions</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Public institutions like the judiciary, the courts, and the police are important for the effective functioning of a state. It is not just the staffing of those institutions that matters, but also public perception that those institutions are trustworthy. Effective and trustworthy public institutions are linked to good governance and democratization in the comparative politics </w:t>
      </w:r>
      <w:r>
        <w:rPr>
          <w:rFonts w:ascii="Times New Roman" w:hAnsi="Times New Roman" w:cs="Times New Roman"/>
          <w:sz w:val="24"/>
          <w:szCs w:val="24"/>
        </w:rPr>
        <w:lastRenderedPageBreak/>
        <w:t>literature.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As such, building trustworthy public institutions was a transition goal for post-communist countries.</w:t>
      </w:r>
      <w:r>
        <w:rPr>
          <w:rStyle w:val="FootnoteReference"/>
          <w:rFonts w:ascii="Times New Roman" w:hAnsi="Times New Roman" w:cs="Times New Roman"/>
          <w:sz w:val="24"/>
          <w:szCs w:val="24"/>
        </w:rPr>
        <w:footnoteReference w:id="42"/>
      </w:r>
      <w:r w:rsidRPr="00B600EE">
        <w:rPr>
          <w:rFonts w:ascii="Times New Roman" w:hAnsi="Times New Roman" w:cs="Times New Roman"/>
          <w:sz w:val="24"/>
          <w:szCs w:val="24"/>
        </w:rPr>
        <w:t xml:space="preserve"> </w:t>
      </w:r>
      <w:r>
        <w:rPr>
          <w:rFonts w:ascii="Times New Roman" w:hAnsi="Times New Roman" w:cs="Times New Roman"/>
          <w:sz w:val="24"/>
          <w:szCs w:val="24"/>
        </w:rPr>
        <w:t>Transitional justice measures like lustration and public disclosures were first and foremost designed to expose the collaborator backgrounds of individuals in these very public institutions. Lustration started out as a means of screening individuals in public positions, to assess their integrity and capacity to do their job based on evidence of previous collaboration or employment with the secret police and/or communist regime.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As such, lustration and its employment vetting aspects were intimately linked to efforts to improve the functionality and trustworthiness of targeted public institutions.</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Romania, most of the public institutions were heavily staffed by loyalists to the Communist Party. </w:t>
      </w:r>
      <w:r w:rsidRPr="00625F39">
        <w:rPr>
          <w:rFonts w:ascii="Times New Roman" w:hAnsi="Times New Roman" w:cs="Times New Roman"/>
          <w:sz w:val="24"/>
          <w:szCs w:val="24"/>
        </w:rPr>
        <w:t>Securitate</w:t>
      </w:r>
      <w:r>
        <w:rPr>
          <w:rFonts w:ascii="Times New Roman" w:hAnsi="Times New Roman" w:cs="Times New Roman"/>
          <w:sz w:val="24"/>
          <w:szCs w:val="24"/>
        </w:rPr>
        <w:t xml:space="preserve"> networks of agents and informers infiltrated public institutions as a means of maintaining control over the population and ensuring that those institutions enforced policies consistent with the regime goals. Because Romania had limited lustration and did not engage in compulsory employment sanctions for individuals with known collaborator backgrounds, there was more limited employment turnover in public positions than experienced in other places with more direct bureaucratic change provisions. There is a perception that Romania’s trust in public institution levels are below regional standards due to a lack of effective transitional justice. To see whether this intuition is correct, this section compares Romania and five regional countries in terms of trust in the judiciary, the police, the press, and the parliament over 2001-2015 (data limitations for trust in the press truncated this comparison to 2013). </w:t>
      </w:r>
      <w:r w:rsidRPr="00C757A7">
        <w:rPr>
          <w:rFonts w:ascii="Times New Roman" w:hAnsi="Times New Roman" w:cs="Times New Roman"/>
          <w:sz w:val="24"/>
          <w:szCs w:val="24"/>
        </w:rPr>
        <w:t xml:space="preserve">Using </w:t>
      </w:r>
      <w:r>
        <w:rPr>
          <w:rFonts w:ascii="Times New Roman" w:hAnsi="Times New Roman" w:cs="Times New Roman"/>
          <w:sz w:val="24"/>
          <w:szCs w:val="24"/>
        </w:rPr>
        <w:t xml:space="preserve">annual </w:t>
      </w:r>
      <w:r w:rsidRPr="00625F39">
        <w:rPr>
          <w:rFonts w:ascii="Times New Roman" w:hAnsi="Times New Roman" w:cs="Times New Roman"/>
          <w:sz w:val="24"/>
          <w:szCs w:val="24"/>
        </w:rPr>
        <w:t>Eurobarometer Public Opinion</w:t>
      </w:r>
      <w:r w:rsidRPr="00E23887">
        <w:rPr>
          <w:rFonts w:ascii="Times New Roman" w:hAnsi="Times New Roman" w:cs="Times New Roman"/>
          <w:i/>
          <w:sz w:val="24"/>
          <w:szCs w:val="24"/>
        </w:rPr>
        <w:t xml:space="preserve"> </w:t>
      </w:r>
      <w:r w:rsidRPr="00C757A7">
        <w:rPr>
          <w:rFonts w:ascii="Times New Roman" w:hAnsi="Times New Roman" w:cs="Times New Roman"/>
          <w:sz w:val="24"/>
          <w:szCs w:val="24"/>
        </w:rPr>
        <w:t>surveys of trust in pub</w:t>
      </w:r>
      <w:r>
        <w:rPr>
          <w:rFonts w:ascii="Times New Roman" w:hAnsi="Times New Roman" w:cs="Times New Roman"/>
          <w:sz w:val="24"/>
          <w:szCs w:val="24"/>
        </w:rPr>
        <w:t xml:space="preserve">lic institutions, I plot the percentage of people who said they could trust a certain public institution. These institutions were included </w:t>
      </w:r>
      <w:r>
        <w:rPr>
          <w:rFonts w:ascii="Times New Roman" w:hAnsi="Times New Roman" w:cs="Times New Roman"/>
          <w:sz w:val="24"/>
          <w:szCs w:val="24"/>
        </w:rPr>
        <w:lastRenderedPageBreak/>
        <w:t>in most lustration, public disclosure and file access provisions in the region. There is a strong argument to be made that transitional justice measures targeting these institutions might make them appear more trustworthy to citizens.</w:t>
      </w:r>
      <w:r>
        <w:rPr>
          <w:rStyle w:val="FootnoteReference"/>
          <w:rFonts w:ascii="Times New Roman" w:hAnsi="Times New Roman" w:cs="Times New Roman"/>
          <w:sz w:val="24"/>
          <w:szCs w:val="24"/>
        </w:rPr>
        <w:footnoteReference w:id="44"/>
      </w:r>
    </w:p>
    <w:p w:rsidR="00CF52CA" w:rsidRPr="001310D1" w:rsidRDefault="00CF52CA" w:rsidP="00CF52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FIGURES 3.1 and 3.2 HERE</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3.1</w:t>
      </w:r>
      <w:r w:rsidRPr="00C757A7">
        <w:rPr>
          <w:rFonts w:ascii="Times New Roman" w:hAnsi="Times New Roman" w:cs="Times New Roman"/>
          <w:sz w:val="24"/>
          <w:szCs w:val="24"/>
        </w:rPr>
        <w:t xml:space="preserve"> compares trust in the judiciary acro</w:t>
      </w:r>
      <w:r>
        <w:rPr>
          <w:rFonts w:ascii="Times New Roman" w:hAnsi="Times New Roman" w:cs="Times New Roman"/>
          <w:sz w:val="24"/>
          <w:szCs w:val="24"/>
        </w:rPr>
        <w:t>ss six countries.</w:t>
      </w:r>
      <w:r w:rsidRPr="00C757A7">
        <w:rPr>
          <w:rFonts w:ascii="Times New Roman" w:hAnsi="Times New Roman" w:cs="Times New Roman"/>
          <w:sz w:val="24"/>
          <w:szCs w:val="24"/>
        </w:rPr>
        <w:t xml:space="preserve"> Trust in the judiciary in Roma</w:t>
      </w:r>
      <w:r>
        <w:rPr>
          <w:rFonts w:ascii="Times New Roman" w:hAnsi="Times New Roman" w:cs="Times New Roman"/>
          <w:sz w:val="24"/>
          <w:szCs w:val="24"/>
        </w:rPr>
        <w:t xml:space="preserve">nia has generally improved after </w:t>
      </w:r>
      <w:r w:rsidRPr="00C757A7">
        <w:rPr>
          <w:rFonts w:ascii="Times New Roman" w:hAnsi="Times New Roman" w:cs="Times New Roman"/>
          <w:sz w:val="24"/>
          <w:szCs w:val="24"/>
        </w:rPr>
        <w:t xml:space="preserve">2006, and as of 2015 </w:t>
      </w:r>
      <w:r>
        <w:rPr>
          <w:rFonts w:ascii="Times New Roman" w:hAnsi="Times New Roman" w:cs="Times New Roman"/>
          <w:sz w:val="24"/>
          <w:szCs w:val="24"/>
        </w:rPr>
        <w:t>Romania</w:t>
      </w:r>
      <w:r w:rsidRPr="00C757A7">
        <w:rPr>
          <w:rFonts w:ascii="Times New Roman" w:hAnsi="Times New Roman" w:cs="Times New Roman"/>
          <w:sz w:val="24"/>
          <w:szCs w:val="24"/>
        </w:rPr>
        <w:t xml:space="preserve"> scored relatively well compared to</w:t>
      </w:r>
      <w:r>
        <w:rPr>
          <w:rFonts w:ascii="Times New Roman" w:hAnsi="Times New Roman" w:cs="Times New Roman"/>
          <w:sz w:val="24"/>
          <w:szCs w:val="24"/>
        </w:rPr>
        <w:t xml:space="preserve"> other countries in the region.</w:t>
      </w:r>
      <w:r w:rsidRPr="00C757A7">
        <w:rPr>
          <w:rFonts w:ascii="Times New Roman" w:hAnsi="Times New Roman" w:cs="Times New Roman"/>
          <w:sz w:val="24"/>
          <w:szCs w:val="24"/>
        </w:rPr>
        <w:t xml:space="preserve"> In fact, citizens in Romania cited more trust in the judiciary than citizens in </w:t>
      </w:r>
      <w:r>
        <w:rPr>
          <w:rFonts w:ascii="Times New Roman" w:hAnsi="Times New Roman" w:cs="Times New Roman"/>
          <w:sz w:val="24"/>
          <w:szCs w:val="24"/>
        </w:rPr>
        <w:t>Hungary and the Czech Republic.</w:t>
      </w:r>
      <w:r w:rsidRPr="00C757A7">
        <w:rPr>
          <w:rFonts w:ascii="Times New Roman" w:hAnsi="Times New Roman" w:cs="Times New Roman"/>
          <w:sz w:val="24"/>
          <w:szCs w:val="24"/>
        </w:rPr>
        <w:t xml:space="preserve"> In terms of trust in the press, </w:t>
      </w:r>
      <w:r>
        <w:rPr>
          <w:rFonts w:ascii="Times New Roman" w:hAnsi="Times New Roman" w:cs="Times New Roman"/>
          <w:sz w:val="24"/>
          <w:szCs w:val="24"/>
        </w:rPr>
        <w:t xml:space="preserve">Figure 3.2 illustrates that </w:t>
      </w:r>
      <w:r w:rsidRPr="00C757A7">
        <w:rPr>
          <w:rFonts w:ascii="Times New Roman" w:hAnsi="Times New Roman" w:cs="Times New Roman"/>
          <w:sz w:val="24"/>
          <w:szCs w:val="24"/>
        </w:rPr>
        <w:t xml:space="preserve">Romania was in the middle of this group of comparative cases as of 2013. </w:t>
      </w:r>
      <w:r>
        <w:rPr>
          <w:rFonts w:ascii="Times New Roman" w:hAnsi="Times New Roman" w:cs="Times New Roman"/>
          <w:sz w:val="24"/>
          <w:szCs w:val="24"/>
        </w:rPr>
        <w:t>Although</w:t>
      </w:r>
      <w:r w:rsidRPr="00C757A7">
        <w:rPr>
          <w:rFonts w:ascii="Times New Roman" w:hAnsi="Times New Roman" w:cs="Times New Roman"/>
          <w:sz w:val="24"/>
          <w:szCs w:val="24"/>
        </w:rPr>
        <w:t xml:space="preserve"> Romania enjoyed more trust in the press than most regional cases prior </w:t>
      </w:r>
      <w:r>
        <w:rPr>
          <w:rFonts w:ascii="Times New Roman" w:hAnsi="Times New Roman" w:cs="Times New Roman"/>
          <w:sz w:val="24"/>
          <w:szCs w:val="24"/>
        </w:rPr>
        <w:t>to 2008, its levels still declined over time.</w:t>
      </w:r>
      <w:r w:rsidRPr="00C757A7">
        <w:rPr>
          <w:rFonts w:ascii="Times New Roman" w:hAnsi="Times New Roman" w:cs="Times New Roman"/>
          <w:sz w:val="24"/>
          <w:szCs w:val="24"/>
        </w:rPr>
        <w:t xml:space="preserve"> As of 2013, Romania’s trust levels were on par with Hungary’s, above Bulgaria’s, but below</w:t>
      </w:r>
      <w:r>
        <w:rPr>
          <w:rFonts w:ascii="Times New Roman" w:hAnsi="Times New Roman" w:cs="Times New Roman"/>
          <w:sz w:val="24"/>
          <w:szCs w:val="24"/>
        </w:rPr>
        <w:t xml:space="preserve"> the Czech Republic and Poland.</w:t>
      </w:r>
      <w:r w:rsidRPr="00C757A7">
        <w:rPr>
          <w:rFonts w:ascii="Times New Roman" w:hAnsi="Times New Roman" w:cs="Times New Roman"/>
          <w:sz w:val="24"/>
          <w:szCs w:val="24"/>
        </w:rPr>
        <w:t xml:space="preserve"> In other words, Romania’s trust in the press was in the middle of the comparative set.</w:t>
      </w:r>
      <w:r>
        <w:rPr>
          <w:rFonts w:ascii="Times New Roman" w:hAnsi="Times New Roman" w:cs="Times New Roman"/>
          <w:sz w:val="24"/>
          <w:szCs w:val="24"/>
        </w:rPr>
        <w:t xml:space="preserve"> Figure 3.3 shows that trust in parliament </w:t>
      </w:r>
      <w:r w:rsidRPr="00C757A7">
        <w:rPr>
          <w:rFonts w:ascii="Times New Roman" w:hAnsi="Times New Roman" w:cs="Times New Roman"/>
          <w:sz w:val="24"/>
          <w:szCs w:val="24"/>
        </w:rPr>
        <w:t xml:space="preserve">fluctuated in Romania, declining from 2001 </w:t>
      </w:r>
      <w:r>
        <w:rPr>
          <w:rFonts w:ascii="Times New Roman" w:hAnsi="Times New Roman" w:cs="Times New Roman"/>
          <w:sz w:val="24"/>
          <w:szCs w:val="24"/>
        </w:rPr>
        <w:t>to</w:t>
      </w:r>
      <w:r w:rsidRPr="00C757A7">
        <w:rPr>
          <w:rFonts w:ascii="Times New Roman" w:hAnsi="Times New Roman" w:cs="Times New Roman"/>
          <w:sz w:val="24"/>
          <w:szCs w:val="24"/>
        </w:rPr>
        <w:t xml:space="preserve"> 2010 but</w:t>
      </w:r>
      <w:r>
        <w:rPr>
          <w:rFonts w:ascii="Times New Roman" w:hAnsi="Times New Roman" w:cs="Times New Roman"/>
          <w:sz w:val="24"/>
          <w:szCs w:val="24"/>
        </w:rPr>
        <w:t xml:space="preserve"> then slowly rising over time.</w:t>
      </w:r>
      <w:r w:rsidRPr="00C757A7">
        <w:rPr>
          <w:rFonts w:ascii="Times New Roman" w:hAnsi="Times New Roman" w:cs="Times New Roman"/>
          <w:sz w:val="24"/>
          <w:szCs w:val="24"/>
        </w:rPr>
        <w:t xml:space="preserve"> In terms of trust in parliament, Romania again scored in the middle of this comparative set, having neither very </w:t>
      </w:r>
      <w:r>
        <w:rPr>
          <w:rFonts w:ascii="Times New Roman" w:hAnsi="Times New Roman" w:cs="Times New Roman"/>
          <w:sz w:val="24"/>
          <w:szCs w:val="24"/>
        </w:rPr>
        <w:t>high nor very low trust levels.</w:t>
      </w:r>
      <w:r w:rsidRPr="00C757A7">
        <w:rPr>
          <w:rFonts w:ascii="Times New Roman" w:hAnsi="Times New Roman" w:cs="Times New Roman"/>
          <w:sz w:val="24"/>
          <w:szCs w:val="24"/>
        </w:rPr>
        <w:t xml:space="preserve"> Finally, </w:t>
      </w:r>
      <w:r>
        <w:rPr>
          <w:rFonts w:ascii="Times New Roman" w:hAnsi="Times New Roman" w:cs="Times New Roman"/>
          <w:sz w:val="24"/>
          <w:szCs w:val="24"/>
        </w:rPr>
        <w:t xml:space="preserve">Figure 3.4 shows that </w:t>
      </w:r>
      <w:r w:rsidRPr="00C757A7">
        <w:rPr>
          <w:rFonts w:ascii="Times New Roman" w:hAnsi="Times New Roman" w:cs="Times New Roman"/>
          <w:sz w:val="24"/>
          <w:szCs w:val="24"/>
        </w:rPr>
        <w:t>trust in the police</w:t>
      </w:r>
      <w:r>
        <w:rPr>
          <w:rFonts w:ascii="Times New Roman" w:hAnsi="Times New Roman" w:cs="Times New Roman"/>
          <w:sz w:val="24"/>
          <w:szCs w:val="24"/>
        </w:rPr>
        <w:t xml:space="preserve"> </w:t>
      </w:r>
      <w:r w:rsidRPr="00C757A7">
        <w:rPr>
          <w:rFonts w:ascii="Times New Roman" w:hAnsi="Times New Roman" w:cs="Times New Roman"/>
          <w:sz w:val="24"/>
          <w:szCs w:val="24"/>
        </w:rPr>
        <w:t>improved over time in Romania. In 2001 Romania ranked toward the bottom of the trust index, but has slowly seen an increase in trust in the police over time. As of 2015, Romania’s level of trust in the police was on par with Poland, setting Romania in the upper half of countries in this grouping.</w:t>
      </w:r>
    </w:p>
    <w:p w:rsidR="00CF52CA" w:rsidRPr="00195C5B" w:rsidRDefault="00CF52CA" w:rsidP="00CF52CA">
      <w:pPr>
        <w:jc w:val="center"/>
        <w:rPr>
          <w:rFonts w:ascii="Times New Roman" w:hAnsi="Times New Roman" w:cs="Times New Roman"/>
          <w:sz w:val="24"/>
          <w:szCs w:val="24"/>
        </w:rPr>
      </w:pPr>
      <w:r w:rsidRPr="00195C5B">
        <w:rPr>
          <w:rFonts w:ascii="Times New Roman" w:hAnsi="Times New Roman" w:cs="Times New Roman"/>
          <w:sz w:val="24"/>
          <w:szCs w:val="24"/>
        </w:rPr>
        <w:t>INSERT FIGURE</w:t>
      </w:r>
      <w:r>
        <w:rPr>
          <w:rFonts w:ascii="Times New Roman" w:hAnsi="Times New Roman" w:cs="Times New Roman"/>
          <w:sz w:val="24"/>
          <w:szCs w:val="24"/>
        </w:rPr>
        <w:t>S</w:t>
      </w:r>
      <w:r w:rsidRPr="00195C5B">
        <w:rPr>
          <w:rFonts w:ascii="Times New Roman" w:hAnsi="Times New Roman" w:cs="Times New Roman"/>
          <w:sz w:val="24"/>
          <w:szCs w:val="24"/>
        </w:rPr>
        <w:t xml:space="preserve"> 3.3 </w:t>
      </w:r>
      <w:r>
        <w:rPr>
          <w:rFonts w:ascii="Times New Roman" w:hAnsi="Times New Roman" w:cs="Times New Roman"/>
          <w:sz w:val="24"/>
          <w:szCs w:val="24"/>
        </w:rPr>
        <w:t xml:space="preserve">AND 3.4 </w:t>
      </w:r>
      <w:r w:rsidRPr="00195C5B">
        <w:rPr>
          <w:rFonts w:ascii="Times New Roman" w:hAnsi="Times New Roman" w:cs="Times New Roman"/>
          <w:sz w:val="24"/>
          <w:szCs w:val="24"/>
        </w:rPr>
        <w:t>HERE</w:t>
      </w:r>
    </w:p>
    <w:p w:rsidR="00CF52CA" w:rsidRDefault="00CF52CA" w:rsidP="00CF52CA">
      <w:pPr>
        <w:tabs>
          <w:tab w:val="left" w:pos="18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w:t>
      </w:r>
      <w:r w:rsidRPr="004E0CD8">
        <w:rPr>
          <w:rFonts w:ascii="Times New Roman" w:hAnsi="Times New Roman" w:cs="Times New Roman"/>
          <w:sz w:val="24"/>
          <w:szCs w:val="24"/>
        </w:rPr>
        <w:t xml:space="preserve">able </w:t>
      </w:r>
      <w:r>
        <w:rPr>
          <w:rFonts w:ascii="Times New Roman" w:hAnsi="Times New Roman" w:cs="Times New Roman"/>
          <w:sz w:val="24"/>
          <w:szCs w:val="24"/>
        </w:rPr>
        <w:t xml:space="preserve">3.4 </w:t>
      </w:r>
      <w:r w:rsidRPr="004E0CD8">
        <w:rPr>
          <w:rFonts w:ascii="Times New Roman" w:hAnsi="Times New Roman" w:cs="Times New Roman"/>
          <w:sz w:val="24"/>
          <w:szCs w:val="24"/>
        </w:rPr>
        <w:t>presents</w:t>
      </w:r>
      <w:r>
        <w:rPr>
          <w:rFonts w:ascii="Times New Roman" w:hAnsi="Times New Roman" w:cs="Times New Roman"/>
          <w:sz w:val="24"/>
          <w:szCs w:val="24"/>
        </w:rPr>
        <w:t xml:space="preserve"> data on</w:t>
      </w:r>
      <w:r w:rsidRPr="004E0CD8">
        <w:rPr>
          <w:rFonts w:ascii="Times New Roman" w:hAnsi="Times New Roman" w:cs="Times New Roman"/>
          <w:sz w:val="24"/>
          <w:szCs w:val="24"/>
        </w:rPr>
        <w:t xml:space="preserve"> </w:t>
      </w:r>
      <w:r>
        <w:rPr>
          <w:rFonts w:ascii="Times New Roman" w:hAnsi="Times New Roman" w:cs="Times New Roman"/>
          <w:sz w:val="24"/>
          <w:szCs w:val="24"/>
        </w:rPr>
        <w:t xml:space="preserve">trust in public institutions from the </w:t>
      </w:r>
      <w:r w:rsidRPr="00186581">
        <w:rPr>
          <w:rFonts w:ascii="Times New Roman" w:hAnsi="Times New Roman" w:cs="Times New Roman"/>
          <w:sz w:val="24"/>
          <w:szCs w:val="24"/>
        </w:rPr>
        <w:t>New Democracies Barometer</w:t>
      </w:r>
      <w:r w:rsidRPr="004E0CD8">
        <w:rPr>
          <w:rFonts w:ascii="Times New Roman" w:hAnsi="Times New Roman" w:cs="Times New Roman"/>
          <w:i/>
          <w:sz w:val="24"/>
          <w:szCs w:val="24"/>
        </w:rPr>
        <w:t xml:space="preserve"> </w:t>
      </w:r>
      <w:r>
        <w:rPr>
          <w:rFonts w:ascii="Times New Roman" w:hAnsi="Times New Roman" w:cs="Times New Roman"/>
          <w:sz w:val="24"/>
          <w:szCs w:val="24"/>
        </w:rPr>
        <w:t xml:space="preserve">project, a different dataset with survey questions corresponding to </w:t>
      </w:r>
      <w:r w:rsidRPr="00186581">
        <w:rPr>
          <w:rFonts w:ascii="Times New Roman" w:hAnsi="Times New Roman" w:cs="Times New Roman"/>
          <w:sz w:val="24"/>
          <w:szCs w:val="24"/>
        </w:rPr>
        <w:t>Eurobarometer</w:t>
      </w:r>
      <w:r>
        <w:rPr>
          <w:rFonts w:ascii="Times New Roman" w:hAnsi="Times New Roman" w:cs="Times New Roman"/>
          <w:sz w:val="24"/>
          <w:szCs w:val="24"/>
        </w:rPr>
        <w:t xml:space="preserve">. The data represent the average of citizen responses to questions about </w:t>
      </w:r>
      <w:r w:rsidRPr="004E0CD8">
        <w:rPr>
          <w:rFonts w:ascii="Times New Roman" w:hAnsi="Times New Roman" w:cs="Times New Roman"/>
          <w:sz w:val="24"/>
          <w:szCs w:val="24"/>
        </w:rPr>
        <w:t>how much they trusted different public institutions</w:t>
      </w:r>
      <w:r>
        <w:rPr>
          <w:rFonts w:ascii="Times New Roman" w:hAnsi="Times New Roman" w:cs="Times New Roman"/>
          <w:sz w:val="24"/>
          <w:szCs w:val="24"/>
        </w:rPr>
        <w:t xml:space="preserve"> on a scale from 1 to 7, with 7 being the highest level of trust.</w:t>
      </w:r>
      <w:r w:rsidRPr="004E0CD8">
        <w:rPr>
          <w:rFonts w:ascii="Times New Roman" w:hAnsi="Times New Roman" w:cs="Times New Roman"/>
          <w:sz w:val="24"/>
          <w:szCs w:val="24"/>
        </w:rPr>
        <w:t xml:space="preserve"> Information on trust in the parliament, the courts, the police, the army, political parties and the press is presented here for the two time periods for which data was avail</w:t>
      </w:r>
      <w:r>
        <w:rPr>
          <w:rFonts w:ascii="Times New Roman" w:hAnsi="Times New Roman" w:cs="Times New Roman"/>
          <w:sz w:val="24"/>
          <w:szCs w:val="24"/>
        </w:rPr>
        <w:t>able, 1993 and 2004. The</w:t>
      </w:r>
      <w:r w:rsidRPr="004E0CD8">
        <w:rPr>
          <w:rFonts w:ascii="Times New Roman" w:hAnsi="Times New Roman" w:cs="Times New Roman"/>
          <w:sz w:val="24"/>
          <w:szCs w:val="24"/>
        </w:rPr>
        <w:t>s</w:t>
      </w:r>
      <w:r>
        <w:rPr>
          <w:rFonts w:ascii="Times New Roman" w:hAnsi="Times New Roman" w:cs="Times New Roman"/>
          <w:sz w:val="24"/>
          <w:szCs w:val="24"/>
        </w:rPr>
        <w:t>e</w:t>
      </w:r>
      <w:r w:rsidRPr="004E0CD8">
        <w:rPr>
          <w:rFonts w:ascii="Times New Roman" w:hAnsi="Times New Roman" w:cs="Times New Roman"/>
          <w:sz w:val="24"/>
          <w:szCs w:val="24"/>
        </w:rPr>
        <w:t xml:space="preserve"> time period</w:t>
      </w:r>
      <w:r>
        <w:rPr>
          <w:rFonts w:ascii="Times New Roman" w:hAnsi="Times New Roman" w:cs="Times New Roman"/>
          <w:sz w:val="24"/>
          <w:szCs w:val="24"/>
        </w:rPr>
        <w:t>s captured</w:t>
      </w:r>
      <w:r w:rsidRPr="004E0CD8">
        <w:rPr>
          <w:rFonts w:ascii="Times New Roman" w:hAnsi="Times New Roman" w:cs="Times New Roman"/>
          <w:sz w:val="24"/>
          <w:szCs w:val="24"/>
        </w:rPr>
        <w:t xml:space="preserve"> citizen trust asse</w:t>
      </w:r>
      <w:r>
        <w:rPr>
          <w:rFonts w:ascii="Times New Roman" w:hAnsi="Times New Roman" w:cs="Times New Roman"/>
          <w:sz w:val="24"/>
          <w:szCs w:val="24"/>
        </w:rPr>
        <w:t>ssments early in the transition</w:t>
      </w:r>
      <w:r w:rsidRPr="004E0CD8">
        <w:rPr>
          <w:rFonts w:ascii="Times New Roman" w:hAnsi="Times New Roman" w:cs="Times New Roman"/>
          <w:sz w:val="24"/>
          <w:szCs w:val="24"/>
        </w:rPr>
        <w:t xml:space="preserve"> and almost a decade later</w:t>
      </w:r>
      <w:r>
        <w:rPr>
          <w:rFonts w:ascii="Times New Roman" w:hAnsi="Times New Roman" w:cs="Times New Roman"/>
          <w:sz w:val="24"/>
          <w:szCs w:val="24"/>
        </w:rPr>
        <w:t>, providing sufficient</w:t>
      </w:r>
      <w:r w:rsidRPr="004E0CD8">
        <w:rPr>
          <w:rFonts w:ascii="Times New Roman" w:hAnsi="Times New Roman" w:cs="Times New Roman"/>
          <w:sz w:val="24"/>
          <w:szCs w:val="24"/>
        </w:rPr>
        <w:t xml:space="preserve"> data to compare changes within Romania</w:t>
      </w:r>
      <w:r>
        <w:rPr>
          <w:rFonts w:ascii="Times New Roman" w:hAnsi="Times New Roman" w:cs="Times New Roman"/>
          <w:sz w:val="24"/>
          <w:szCs w:val="24"/>
        </w:rPr>
        <w:t>,</w:t>
      </w:r>
      <w:r w:rsidRPr="004E0CD8">
        <w:rPr>
          <w:rFonts w:ascii="Times New Roman" w:hAnsi="Times New Roman" w:cs="Times New Roman"/>
          <w:sz w:val="24"/>
          <w:szCs w:val="24"/>
        </w:rPr>
        <w:t xml:space="preserve"> </w:t>
      </w:r>
      <w:r>
        <w:rPr>
          <w:rFonts w:ascii="Times New Roman" w:hAnsi="Times New Roman" w:cs="Times New Roman"/>
          <w:sz w:val="24"/>
          <w:szCs w:val="24"/>
        </w:rPr>
        <w:t>and assess how Romania compared</w:t>
      </w:r>
      <w:r w:rsidRPr="004E0CD8">
        <w:rPr>
          <w:rFonts w:ascii="Times New Roman" w:hAnsi="Times New Roman" w:cs="Times New Roman"/>
          <w:sz w:val="24"/>
          <w:szCs w:val="24"/>
        </w:rPr>
        <w:t xml:space="preserve"> to other </w:t>
      </w:r>
      <w:r>
        <w:rPr>
          <w:rFonts w:ascii="Times New Roman" w:hAnsi="Times New Roman" w:cs="Times New Roman"/>
          <w:sz w:val="24"/>
          <w:szCs w:val="24"/>
        </w:rPr>
        <w:t xml:space="preserve">post-communist </w:t>
      </w:r>
      <w:r w:rsidRPr="004E0CD8">
        <w:rPr>
          <w:rFonts w:ascii="Times New Roman" w:hAnsi="Times New Roman" w:cs="Times New Roman"/>
          <w:sz w:val="24"/>
          <w:szCs w:val="24"/>
        </w:rPr>
        <w:t xml:space="preserve">countries. </w:t>
      </w:r>
      <w:r>
        <w:rPr>
          <w:rFonts w:ascii="Times New Roman" w:hAnsi="Times New Roman" w:cs="Times New Roman"/>
          <w:sz w:val="24"/>
          <w:szCs w:val="24"/>
        </w:rPr>
        <w:t>As Table 3.4</w:t>
      </w:r>
      <w:r w:rsidRPr="004E0CD8">
        <w:rPr>
          <w:rFonts w:ascii="Times New Roman" w:hAnsi="Times New Roman" w:cs="Times New Roman"/>
          <w:sz w:val="24"/>
          <w:szCs w:val="24"/>
        </w:rPr>
        <w:t xml:space="preserve"> illustrates, trust in all of the public institutions appeared to decline between 1993 and 2004 in Romania. This is the period prior to any real transitional justice measures and</w:t>
      </w:r>
      <w:r>
        <w:rPr>
          <w:rFonts w:ascii="Times New Roman" w:hAnsi="Times New Roman" w:cs="Times New Roman"/>
          <w:sz w:val="24"/>
          <w:szCs w:val="24"/>
        </w:rPr>
        <w:t>,</w:t>
      </w:r>
      <w:r w:rsidRPr="004E0CD8">
        <w:rPr>
          <w:rFonts w:ascii="Times New Roman" w:hAnsi="Times New Roman" w:cs="Times New Roman"/>
          <w:sz w:val="24"/>
          <w:szCs w:val="24"/>
        </w:rPr>
        <w:t xml:space="preserve"> as such, is a slightly different temporal slice of trust data than the national level charts previously presente</w:t>
      </w:r>
      <w:r w:rsidRPr="00D813B9">
        <w:rPr>
          <w:rFonts w:ascii="Times New Roman" w:hAnsi="Times New Roman" w:cs="Times New Roman"/>
          <w:sz w:val="24"/>
          <w:szCs w:val="24"/>
        </w:rPr>
        <w:t xml:space="preserve">d. </w:t>
      </w:r>
      <w:r>
        <w:rPr>
          <w:rFonts w:ascii="Times New Roman" w:hAnsi="Times New Roman" w:cs="Times New Roman"/>
          <w:sz w:val="24"/>
          <w:szCs w:val="24"/>
        </w:rPr>
        <w:t>This snapshot presents a gloomy picture of trust in public institutions a decade after the transition.</w:t>
      </w:r>
    </w:p>
    <w:p w:rsidR="00CF52CA" w:rsidRDefault="00CF52CA" w:rsidP="00CF52CA">
      <w:pPr>
        <w:tabs>
          <w:tab w:val="left" w:pos="1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3.4 HERE</w:t>
      </w:r>
    </w:p>
    <w:p w:rsidR="00CF52CA" w:rsidRPr="00F3458D" w:rsidRDefault="00CF52CA" w:rsidP="00CF52CA">
      <w:pPr>
        <w:tabs>
          <w:tab w:val="left" w:pos="1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w:t>
      </w:r>
      <w:r w:rsidRPr="00D813B9">
        <w:rPr>
          <w:rFonts w:ascii="Times New Roman" w:hAnsi="Times New Roman" w:cs="Times New Roman"/>
          <w:sz w:val="24"/>
          <w:szCs w:val="24"/>
        </w:rPr>
        <w:t>omparing Romania’s trust l</w:t>
      </w:r>
      <w:r>
        <w:rPr>
          <w:rFonts w:ascii="Times New Roman" w:hAnsi="Times New Roman" w:cs="Times New Roman"/>
          <w:sz w:val="24"/>
          <w:szCs w:val="24"/>
        </w:rPr>
        <w:t>evels to regional counterparts allows us to contextualize these levels. Romania’s trust in the army wa</w:t>
      </w:r>
      <w:r w:rsidRPr="00D813B9">
        <w:rPr>
          <w:rFonts w:ascii="Times New Roman" w:hAnsi="Times New Roman" w:cs="Times New Roman"/>
          <w:sz w:val="24"/>
          <w:szCs w:val="24"/>
        </w:rPr>
        <w:t>s higher than an</w:t>
      </w:r>
      <w:r>
        <w:rPr>
          <w:rFonts w:ascii="Times New Roman" w:hAnsi="Times New Roman" w:cs="Times New Roman"/>
          <w:sz w:val="24"/>
          <w:szCs w:val="24"/>
        </w:rPr>
        <w:t>y of the other countries</w:t>
      </w:r>
      <w:r w:rsidRPr="00D813B9">
        <w:rPr>
          <w:rFonts w:ascii="Times New Roman" w:hAnsi="Times New Roman" w:cs="Times New Roman"/>
          <w:sz w:val="24"/>
          <w:szCs w:val="24"/>
        </w:rPr>
        <w:t>, and it</w:t>
      </w:r>
      <w:r>
        <w:rPr>
          <w:rFonts w:ascii="Times New Roman" w:hAnsi="Times New Roman" w:cs="Times New Roman"/>
          <w:sz w:val="24"/>
          <w:szCs w:val="24"/>
        </w:rPr>
        <w:t>s levels of trust in the press we</w:t>
      </w:r>
      <w:r w:rsidRPr="00D813B9">
        <w:rPr>
          <w:rFonts w:ascii="Times New Roman" w:hAnsi="Times New Roman" w:cs="Times New Roman"/>
          <w:sz w:val="24"/>
          <w:szCs w:val="24"/>
        </w:rPr>
        <w:t>re hi</w:t>
      </w:r>
      <w:r>
        <w:rPr>
          <w:rFonts w:ascii="Times New Roman" w:hAnsi="Times New Roman" w:cs="Times New Roman"/>
          <w:sz w:val="24"/>
          <w:szCs w:val="24"/>
        </w:rPr>
        <w:t>g</w:t>
      </w:r>
      <w:r w:rsidRPr="00D813B9">
        <w:rPr>
          <w:rFonts w:ascii="Times New Roman" w:hAnsi="Times New Roman" w:cs="Times New Roman"/>
          <w:sz w:val="24"/>
          <w:szCs w:val="24"/>
        </w:rPr>
        <w:t xml:space="preserve">her than </w:t>
      </w:r>
      <w:r>
        <w:rPr>
          <w:rFonts w:ascii="Times New Roman" w:hAnsi="Times New Roman" w:cs="Times New Roman"/>
          <w:sz w:val="24"/>
          <w:szCs w:val="24"/>
        </w:rPr>
        <w:t xml:space="preserve">in </w:t>
      </w:r>
      <w:r w:rsidRPr="00D813B9">
        <w:rPr>
          <w:rFonts w:ascii="Times New Roman" w:hAnsi="Times New Roman" w:cs="Times New Roman"/>
          <w:sz w:val="24"/>
          <w:szCs w:val="24"/>
        </w:rPr>
        <w:t>Poland and Slo</w:t>
      </w:r>
      <w:r>
        <w:rPr>
          <w:rFonts w:ascii="Times New Roman" w:hAnsi="Times New Roman" w:cs="Times New Roman"/>
          <w:sz w:val="24"/>
          <w:szCs w:val="24"/>
        </w:rPr>
        <w:t>vakia and on par with Bulgaria. Levels of trust in the police we</w:t>
      </w:r>
      <w:r w:rsidRPr="00D813B9">
        <w:rPr>
          <w:rFonts w:ascii="Times New Roman" w:hAnsi="Times New Roman" w:cs="Times New Roman"/>
          <w:sz w:val="24"/>
          <w:szCs w:val="24"/>
        </w:rPr>
        <w:t>re above Slovakia</w:t>
      </w:r>
      <w:r>
        <w:rPr>
          <w:rFonts w:ascii="Times New Roman" w:hAnsi="Times New Roman" w:cs="Times New Roman"/>
          <w:sz w:val="24"/>
          <w:szCs w:val="24"/>
        </w:rPr>
        <w:t>’s and</w:t>
      </w:r>
      <w:r w:rsidRPr="00D813B9">
        <w:rPr>
          <w:rFonts w:ascii="Times New Roman" w:hAnsi="Times New Roman" w:cs="Times New Roman"/>
          <w:sz w:val="24"/>
          <w:szCs w:val="24"/>
        </w:rPr>
        <w:t xml:space="preserve"> on par with Lithuania</w:t>
      </w:r>
      <w:r>
        <w:rPr>
          <w:rFonts w:ascii="Times New Roman" w:hAnsi="Times New Roman" w:cs="Times New Roman"/>
          <w:sz w:val="24"/>
          <w:szCs w:val="24"/>
        </w:rPr>
        <w:t>,</w:t>
      </w:r>
      <w:r w:rsidRPr="00D813B9">
        <w:rPr>
          <w:rFonts w:ascii="Times New Roman" w:hAnsi="Times New Roman" w:cs="Times New Roman"/>
          <w:sz w:val="24"/>
          <w:szCs w:val="24"/>
        </w:rPr>
        <w:t xml:space="preserve"> Latvia</w:t>
      </w:r>
      <w:r>
        <w:rPr>
          <w:rFonts w:ascii="Times New Roman" w:hAnsi="Times New Roman" w:cs="Times New Roman"/>
          <w:sz w:val="24"/>
          <w:szCs w:val="24"/>
        </w:rPr>
        <w:t xml:space="preserve"> and Bulgaria. Trust in the courts </w:t>
      </w:r>
      <w:r w:rsidRPr="00D813B9">
        <w:rPr>
          <w:rFonts w:ascii="Times New Roman" w:hAnsi="Times New Roman" w:cs="Times New Roman"/>
          <w:sz w:val="24"/>
          <w:szCs w:val="24"/>
        </w:rPr>
        <w:t>was higher in Romania than Poland in 2004, and significantly bet</w:t>
      </w:r>
      <w:r>
        <w:rPr>
          <w:rFonts w:ascii="Times New Roman" w:hAnsi="Times New Roman" w:cs="Times New Roman"/>
          <w:sz w:val="24"/>
          <w:szCs w:val="24"/>
        </w:rPr>
        <w:t>ter than in Bulgaria. Levels of trust in p</w:t>
      </w:r>
      <w:r w:rsidRPr="00D813B9">
        <w:rPr>
          <w:rFonts w:ascii="Times New Roman" w:hAnsi="Times New Roman" w:cs="Times New Roman"/>
          <w:sz w:val="24"/>
          <w:szCs w:val="24"/>
        </w:rPr>
        <w:t xml:space="preserve">arliament </w:t>
      </w:r>
      <w:r>
        <w:rPr>
          <w:rFonts w:ascii="Times New Roman" w:hAnsi="Times New Roman" w:cs="Times New Roman"/>
          <w:sz w:val="24"/>
          <w:szCs w:val="24"/>
        </w:rPr>
        <w:t>and trust in parties we</w:t>
      </w:r>
      <w:r w:rsidRPr="00D813B9">
        <w:rPr>
          <w:rFonts w:ascii="Times New Roman" w:hAnsi="Times New Roman" w:cs="Times New Roman"/>
          <w:sz w:val="24"/>
          <w:szCs w:val="24"/>
        </w:rPr>
        <w:t>re relatively low across all of the countries, with Romania’s levels looking on par with Poland and Latvia</w:t>
      </w:r>
      <w:r>
        <w:rPr>
          <w:rFonts w:ascii="Times New Roman" w:hAnsi="Times New Roman" w:cs="Times New Roman"/>
          <w:sz w:val="24"/>
          <w:szCs w:val="24"/>
        </w:rPr>
        <w:t>,</w:t>
      </w:r>
      <w:r w:rsidRPr="00D813B9">
        <w:rPr>
          <w:rFonts w:ascii="Times New Roman" w:hAnsi="Times New Roman" w:cs="Times New Roman"/>
          <w:sz w:val="24"/>
          <w:szCs w:val="24"/>
        </w:rPr>
        <w:t xml:space="preserve"> as well as just below the Czech Repub</w:t>
      </w:r>
      <w:r>
        <w:rPr>
          <w:rFonts w:ascii="Times New Roman" w:hAnsi="Times New Roman" w:cs="Times New Roman"/>
          <w:sz w:val="24"/>
          <w:szCs w:val="24"/>
        </w:rPr>
        <w:t>lic.</w:t>
      </w:r>
      <w:r w:rsidRPr="00D813B9">
        <w:rPr>
          <w:rFonts w:ascii="Times New Roman" w:hAnsi="Times New Roman" w:cs="Times New Roman"/>
          <w:sz w:val="24"/>
          <w:szCs w:val="24"/>
        </w:rPr>
        <w:t xml:space="preserve"> </w:t>
      </w:r>
      <w:r>
        <w:rPr>
          <w:rFonts w:ascii="Times New Roman" w:hAnsi="Times New Roman" w:cs="Times New Roman"/>
          <w:sz w:val="24"/>
          <w:szCs w:val="24"/>
        </w:rPr>
        <w:t>The regional</w:t>
      </w:r>
      <w:r w:rsidRPr="00D813B9">
        <w:rPr>
          <w:rFonts w:ascii="Times New Roman" w:hAnsi="Times New Roman" w:cs="Times New Roman"/>
          <w:sz w:val="24"/>
          <w:szCs w:val="24"/>
        </w:rPr>
        <w:t xml:space="preserve"> comparison</w:t>
      </w:r>
      <w:r>
        <w:rPr>
          <w:rFonts w:ascii="Times New Roman" w:hAnsi="Times New Roman" w:cs="Times New Roman"/>
          <w:sz w:val="24"/>
          <w:szCs w:val="24"/>
        </w:rPr>
        <w:t>s</w:t>
      </w:r>
      <w:r w:rsidRPr="00D813B9">
        <w:rPr>
          <w:rFonts w:ascii="Times New Roman" w:hAnsi="Times New Roman" w:cs="Times New Roman"/>
          <w:sz w:val="24"/>
          <w:szCs w:val="24"/>
        </w:rPr>
        <w:t xml:space="preserve"> of trust levels both immediately after the transition and a decade later show</w:t>
      </w:r>
      <w:r>
        <w:rPr>
          <w:rFonts w:ascii="Times New Roman" w:hAnsi="Times New Roman" w:cs="Times New Roman"/>
          <w:sz w:val="24"/>
          <w:szCs w:val="24"/>
        </w:rPr>
        <w:t xml:space="preserve">ed that trust levels </w:t>
      </w:r>
      <w:r w:rsidRPr="00D813B9">
        <w:rPr>
          <w:rFonts w:ascii="Times New Roman" w:hAnsi="Times New Roman" w:cs="Times New Roman"/>
          <w:sz w:val="24"/>
          <w:szCs w:val="24"/>
        </w:rPr>
        <w:t>declined over this time period in ma</w:t>
      </w:r>
      <w:r>
        <w:rPr>
          <w:rFonts w:ascii="Times New Roman" w:hAnsi="Times New Roman" w:cs="Times New Roman"/>
          <w:sz w:val="24"/>
          <w:szCs w:val="24"/>
        </w:rPr>
        <w:t xml:space="preserve">ny of </w:t>
      </w:r>
      <w:r>
        <w:rPr>
          <w:rFonts w:ascii="Times New Roman" w:hAnsi="Times New Roman" w:cs="Times New Roman"/>
          <w:sz w:val="24"/>
          <w:szCs w:val="24"/>
        </w:rPr>
        <w:lastRenderedPageBreak/>
        <w:t>the post-communist states, not just Romania. This hints</w:t>
      </w:r>
      <w:r w:rsidRPr="00D813B9">
        <w:rPr>
          <w:rFonts w:ascii="Times New Roman" w:hAnsi="Times New Roman" w:cs="Times New Roman"/>
          <w:sz w:val="24"/>
          <w:szCs w:val="24"/>
        </w:rPr>
        <w:t xml:space="preserve"> </w:t>
      </w:r>
      <w:r>
        <w:rPr>
          <w:rFonts w:ascii="Times New Roman" w:hAnsi="Times New Roman" w:cs="Times New Roman"/>
          <w:sz w:val="24"/>
          <w:szCs w:val="24"/>
        </w:rPr>
        <w:t xml:space="preserve">that a larger regional phenomenon might have affected trust levels, such as the fading of </w:t>
      </w:r>
      <w:r w:rsidRPr="00D813B9">
        <w:rPr>
          <w:rFonts w:ascii="Times New Roman" w:hAnsi="Times New Roman" w:cs="Times New Roman"/>
          <w:sz w:val="24"/>
          <w:szCs w:val="24"/>
        </w:rPr>
        <w:t>post-transition euphoria</w:t>
      </w:r>
      <w:r>
        <w:rPr>
          <w:rFonts w:ascii="Times New Roman" w:hAnsi="Times New Roman" w:cs="Times New Roman"/>
          <w:sz w:val="24"/>
          <w:szCs w:val="24"/>
        </w:rPr>
        <w:t>,</w:t>
      </w:r>
      <w:r w:rsidRPr="00D813B9">
        <w:rPr>
          <w:rFonts w:ascii="Times New Roman" w:hAnsi="Times New Roman" w:cs="Times New Roman"/>
          <w:sz w:val="24"/>
          <w:szCs w:val="24"/>
        </w:rPr>
        <w:t xml:space="preserve"> the </w:t>
      </w:r>
      <w:r>
        <w:rPr>
          <w:rFonts w:ascii="Times New Roman" w:hAnsi="Times New Roman" w:cs="Times New Roman"/>
          <w:sz w:val="24"/>
          <w:szCs w:val="24"/>
        </w:rPr>
        <w:t xml:space="preserve">sobering </w:t>
      </w:r>
      <w:r w:rsidRPr="00D813B9">
        <w:rPr>
          <w:rFonts w:ascii="Times New Roman" w:hAnsi="Times New Roman" w:cs="Times New Roman"/>
          <w:sz w:val="24"/>
          <w:szCs w:val="24"/>
        </w:rPr>
        <w:t>realization of the c</w:t>
      </w:r>
      <w:r>
        <w:rPr>
          <w:rFonts w:ascii="Times New Roman" w:hAnsi="Times New Roman" w:cs="Times New Roman"/>
          <w:sz w:val="24"/>
          <w:szCs w:val="24"/>
        </w:rPr>
        <w:t>hallenges of reform, and particular national level factors related to domestic economic, social or political circumstances.</w:t>
      </w:r>
      <w:r w:rsidRPr="00D813B9">
        <w:rPr>
          <w:rFonts w:ascii="Times New Roman" w:hAnsi="Times New Roman" w:cs="Times New Roman"/>
          <w:sz w:val="24"/>
          <w:szCs w:val="24"/>
        </w:rPr>
        <w:t xml:space="preserve"> In </w:t>
      </w:r>
      <w:r>
        <w:rPr>
          <w:rFonts w:ascii="Times New Roman" w:hAnsi="Times New Roman" w:cs="Times New Roman"/>
          <w:sz w:val="24"/>
          <w:szCs w:val="24"/>
        </w:rPr>
        <w:t>short</w:t>
      </w:r>
      <w:r w:rsidRPr="00D813B9">
        <w:rPr>
          <w:rFonts w:ascii="Times New Roman" w:hAnsi="Times New Roman" w:cs="Times New Roman"/>
          <w:sz w:val="24"/>
          <w:szCs w:val="24"/>
        </w:rPr>
        <w:t xml:space="preserve">, Romania’s trends </w:t>
      </w:r>
      <w:r>
        <w:rPr>
          <w:rFonts w:ascii="Times New Roman" w:hAnsi="Times New Roman" w:cs="Times New Roman"/>
          <w:sz w:val="24"/>
          <w:szCs w:val="24"/>
        </w:rPr>
        <w:t xml:space="preserve">were experienced by </w:t>
      </w:r>
      <w:r w:rsidRPr="00D813B9">
        <w:rPr>
          <w:rFonts w:ascii="Times New Roman" w:hAnsi="Times New Roman" w:cs="Times New Roman"/>
          <w:sz w:val="24"/>
          <w:szCs w:val="24"/>
        </w:rPr>
        <w:t>other post-communist c</w:t>
      </w:r>
      <w:r>
        <w:rPr>
          <w:rFonts w:ascii="Times New Roman" w:hAnsi="Times New Roman" w:cs="Times New Roman"/>
          <w:sz w:val="24"/>
          <w:szCs w:val="24"/>
        </w:rPr>
        <w:t>ountries, suggesting Romania wa</w:t>
      </w:r>
      <w:r w:rsidRPr="00D813B9">
        <w:rPr>
          <w:rFonts w:ascii="Times New Roman" w:hAnsi="Times New Roman" w:cs="Times New Roman"/>
          <w:sz w:val="24"/>
          <w:szCs w:val="24"/>
        </w:rPr>
        <w:t xml:space="preserve">s not </w:t>
      </w:r>
      <w:r>
        <w:rPr>
          <w:rFonts w:ascii="Times New Roman" w:hAnsi="Times New Roman" w:cs="Times New Roman"/>
          <w:sz w:val="24"/>
          <w:szCs w:val="24"/>
        </w:rPr>
        <w:t xml:space="preserve">such a trust outlier. This is not an endorsement of Romania’s transitional justice program, so much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acknowledgment that in terms of trust building, Romania ranks in the middle of regional comparisons.</w:t>
      </w:r>
    </w:p>
    <w:p w:rsidR="00CF52CA" w:rsidRPr="006E6BD9" w:rsidRDefault="00CF52CA" w:rsidP="00CF52CA">
      <w:pPr>
        <w:spacing w:after="0" w:line="480" w:lineRule="auto"/>
        <w:rPr>
          <w:rFonts w:ascii="Times New Roman" w:hAnsi="Times New Roman" w:cs="Times New Roman"/>
          <w:b/>
          <w:i/>
          <w:sz w:val="24"/>
          <w:szCs w:val="24"/>
        </w:rPr>
      </w:pPr>
      <w:r w:rsidRPr="006E6BD9">
        <w:rPr>
          <w:rFonts w:ascii="Times New Roman" w:hAnsi="Times New Roman" w:cs="Times New Roman"/>
          <w:b/>
          <w:sz w:val="24"/>
          <w:szCs w:val="24"/>
        </w:rPr>
        <w:tab/>
      </w:r>
      <w:r w:rsidRPr="006E6BD9">
        <w:rPr>
          <w:rFonts w:ascii="Times New Roman" w:hAnsi="Times New Roman" w:cs="Times New Roman"/>
          <w:b/>
          <w:i/>
          <w:sz w:val="24"/>
          <w:szCs w:val="24"/>
        </w:rPr>
        <w:t>Corruption</w:t>
      </w:r>
    </w:p>
    <w:p w:rsidR="00CF52CA" w:rsidRDefault="00CF52CA" w:rsidP="00CF52CA">
      <w:pPr>
        <w:spacing w:after="0" w:line="480" w:lineRule="auto"/>
        <w:ind w:firstLine="720"/>
        <w:rPr>
          <w:rFonts w:ascii="Times New Roman" w:hAnsi="Times New Roman" w:cs="Times New Roman"/>
          <w:sz w:val="24"/>
          <w:szCs w:val="24"/>
        </w:rPr>
      </w:pPr>
      <w:r w:rsidRPr="0080695B">
        <w:rPr>
          <w:rFonts w:ascii="Times New Roman" w:hAnsi="Times New Roman" w:cs="Times New Roman"/>
          <w:sz w:val="24"/>
          <w:szCs w:val="24"/>
        </w:rPr>
        <w:t xml:space="preserve">Directly tied to the narrative about corruption in the post-communist space is a suggested corrective in the form of transitional justice. No other transitional justice mechanism has been </w:t>
      </w:r>
      <w:proofErr w:type="gramStart"/>
      <w:r w:rsidRPr="0080695B">
        <w:rPr>
          <w:rFonts w:ascii="Times New Roman" w:hAnsi="Times New Roman" w:cs="Times New Roman"/>
          <w:sz w:val="24"/>
          <w:szCs w:val="24"/>
        </w:rPr>
        <w:t>so</w:t>
      </w:r>
      <w:proofErr w:type="gramEnd"/>
      <w:r w:rsidRPr="0080695B">
        <w:rPr>
          <w:rFonts w:ascii="Times New Roman" w:hAnsi="Times New Roman" w:cs="Times New Roman"/>
          <w:sz w:val="24"/>
          <w:szCs w:val="24"/>
        </w:rPr>
        <w:t xml:space="preserve"> explicitly framed as a corruption corrective as lustration.</w:t>
      </w:r>
      <w:r>
        <w:rPr>
          <w:rStyle w:val="FootnoteReference"/>
          <w:rFonts w:ascii="Times New Roman" w:hAnsi="Times New Roman" w:cs="Times New Roman"/>
          <w:sz w:val="24"/>
          <w:szCs w:val="24"/>
        </w:rPr>
        <w:footnoteReference w:id="45"/>
      </w:r>
      <w:r w:rsidRPr="0080695B">
        <w:rPr>
          <w:rFonts w:ascii="Times New Roman" w:hAnsi="Times New Roman" w:cs="Times New Roman"/>
          <w:sz w:val="24"/>
          <w:szCs w:val="24"/>
        </w:rPr>
        <w:t xml:space="preserve"> Informal networks of former secret police officials continued to dominate economic activities in many post-communist countries after the transition. In some countries, like Bulgaria and Poland, the disbanding of the security service</w:t>
      </w:r>
      <w:r>
        <w:rPr>
          <w:rFonts w:ascii="Times New Roman" w:hAnsi="Times New Roman" w:cs="Times New Roman"/>
          <w:sz w:val="24"/>
          <w:szCs w:val="24"/>
        </w:rPr>
        <w:t>s created a pool of unemployed, or unemployable,</w:t>
      </w:r>
      <w:r w:rsidRPr="0080695B">
        <w:rPr>
          <w:rFonts w:ascii="Times New Roman" w:hAnsi="Times New Roman" w:cs="Times New Roman"/>
          <w:sz w:val="24"/>
          <w:szCs w:val="24"/>
        </w:rPr>
        <w:t xml:space="preserve"> well connected, former security personnel who could use their privileged networks for personal gain in post-</w:t>
      </w:r>
      <w:r>
        <w:rPr>
          <w:rFonts w:ascii="Times New Roman" w:hAnsi="Times New Roman" w:cs="Times New Roman"/>
          <w:sz w:val="24"/>
          <w:szCs w:val="24"/>
        </w:rPr>
        <w:t>communism</w:t>
      </w:r>
      <w:r w:rsidRPr="0080695B">
        <w:rPr>
          <w:rFonts w:ascii="Times New Roman" w:hAnsi="Times New Roman" w:cs="Times New Roman"/>
          <w:sz w:val="24"/>
          <w:szCs w:val="24"/>
        </w:rPr>
        <w:t>.</w:t>
      </w:r>
      <w:r w:rsidRPr="0080695B">
        <w:rPr>
          <w:rStyle w:val="FootnoteReference"/>
          <w:rFonts w:ascii="Times New Roman" w:hAnsi="Times New Roman" w:cs="Times New Roman"/>
          <w:sz w:val="24"/>
          <w:szCs w:val="24"/>
        </w:rPr>
        <w:footnoteReference w:id="46"/>
      </w:r>
      <w:r w:rsidRPr="0080695B">
        <w:rPr>
          <w:rFonts w:ascii="Times New Roman" w:hAnsi="Times New Roman" w:cs="Times New Roman"/>
          <w:sz w:val="24"/>
          <w:szCs w:val="24"/>
        </w:rPr>
        <w:t xml:space="preserve"> </w:t>
      </w:r>
      <w:r>
        <w:rPr>
          <w:rFonts w:ascii="Times New Roman" w:hAnsi="Times New Roman" w:cs="Times New Roman"/>
          <w:sz w:val="24"/>
          <w:szCs w:val="24"/>
        </w:rPr>
        <w:t>Many late lustration programs were</w:t>
      </w:r>
      <w:r w:rsidRPr="0080695B">
        <w:rPr>
          <w:rFonts w:ascii="Times New Roman" w:hAnsi="Times New Roman" w:cs="Times New Roman"/>
          <w:sz w:val="24"/>
          <w:szCs w:val="24"/>
        </w:rPr>
        <w:t xml:space="preserve"> explicitly </w:t>
      </w:r>
      <w:r>
        <w:rPr>
          <w:rFonts w:ascii="Times New Roman" w:hAnsi="Times New Roman" w:cs="Times New Roman"/>
          <w:sz w:val="24"/>
          <w:szCs w:val="24"/>
        </w:rPr>
        <w:t>framed as methods</w:t>
      </w:r>
      <w:r w:rsidRPr="0080695B">
        <w:rPr>
          <w:rFonts w:ascii="Times New Roman" w:hAnsi="Times New Roman" w:cs="Times New Roman"/>
          <w:sz w:val="24"/>
          <w:szCs w:val="24"/>
        </w:rPr>
        <w:t xml:space="preserve"> to address the widespread economic and political corruption linked to the continued prevalence of former </w:t>
      </w:r>
      <w:proofErr w:type="spellStart"/>
      <w:r w:rsidRPr="0080695B">
        <w:rPr>
          <w:rFonts w:ascii="Times New Roman" w:hAnsi="Times New Roman" w:cs="Times New Roman"/>
          <w:i/>
          <w:sz w:val="24"/>
          <w:szCs w:val="24"/>
        </w:rPr>
        <w:t>nomenklatura</w:t>
      </w:r>
      <w:proofErr w:type="spellEnd"/>
      <w:r w:rsidRPr="0080695B">
        <w:rPr>
          <w:rFonts w:ascii="Times New Roman" w:hAnsi="Times New Roman" w:cs="Times New Roman"/>
          <w:sz w:val="24"/>
          <w:szCs w:val="24"/>
        </w:rPr>
        <w:t xml:space="preserve"> networks</w:t>
      </w:r>
      <w:r>
        <w:rPr>
          <w:rFonts w:ascii="Times New Roman" w:hAnsi="Times New Roman" w:cs="Times New Roman"/>
          <w:sz w:val="24"/>
          <w:szCs w:val="24"/>
        </w:rPr>
        <w:t xml:space="preserve"> in positions of power</w:t>
      </w:r>
      <w:r w:rsidRPr="0080695B">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p>
    <w:p w:rsidR="00CF52CA" w:rsidRPr="0080695B" w:rsidRDefault="00CF52CA" w:rsidP="00CF52CA">
      <w:pPr>
        <w:spacing w:after="0" w:line="480" w:lineRule="auto"/>
        <w:ind w:firstLine="720"/>
        <w:rPr>
          <w:rFonts w:ascii="Times New Roman" w:hAnsi="Times New Roman" w:cs="Times New Roman"/>
          <w:sz w:val="24"/>
          <w:szCs w:val="24"/>
        </w:rPr>
      </w:pPr>
      <w:r w:rsidRPr="0080695B">
        <w:rPr>
          <w:rFonts w:ascii="Times New Roman" w:hAnsi="Times New Roman" w:cs="Times New Roman"/>
          <w:sz w:val="24"/>
          <w:szCs w:val="24"/>
        </w:rPr>
        <w:lastRenderedPageBreak/>
        <w:t>Romania’s problem</w:t>
      </w:r>
      <w:r>
        <w:rPr>
          <w:rFonts w:ascii="Times New Roman" w:hAnsi="Times New Roman" w:cs="Times New Roman"/>
          <w:sz w:val="24"/>
          <w:szCs w:val="24"/>
        </w:rPr>
        <w:t>s</w:t>
      </w:r>
      <w:r w:rsidRPr="0080695B">
        <w:rPr>
          <w:rFonts w:ascii="Times New Roman" w:hAnsi="Times New Roman" w:cs="Times New Roman"/>
          <w:sz w:val="24"/>
          <w:szCs w:val="24"/>
        </w:rPr>
        <w:t xml:space="preserve"> with lingering corruption ha</w:t>
      </w:r>
      <w:r>
        <w:rPr>
          <w:rFonts w:ascii="Times New Roman" w:hAnsi="Times New Roman" w:cs="Times New Roman"/>
          <w:sz w:val="24"/>
          <w:szCs w:val="24"/>
        </w:rPr>
        <w:t>ve</w:t>
      </w:r>
      <w:r w:rsidRPr="0080695B">
        <w:rPr>
          <w:rFonts w:ascii="Times New Roman" w:hAnsi="Times New Roman" w:cs="Times New Roman"/>
          <w:sz w:val="24"/>
          <w:szCs w:val="24"/>
        </w:rPr>
        <w:t xml:space="preserve"> been tied to the political class, for which there was little turnover after the transition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Pr="0080695B">
        <w:rPr>
          <w:rFonts w:ascii="Times New Roman" w:hAnsi="Times New Roman" w:cs="Times New Roman"/>
          <w:sz w:val="24"/>
          <w:szCs w:val="24"/>
        </w:rPr>
        <w:t xml:space="preserve"> The </w:t>
      </w:r>
      <w:r w:rsidRPr="00C63DA7">
        <w:rPr>
          <w:rFonts w:ascii="Times New Roman" w:hAnsi="Times New Roman" w:cs="Times New Roman"/>
          <w:sz w:val="24"/>
          <w:szCs w:val="24"/>
        </w:rPr>
        <w:t>Securitate</w:t>
      </w:r>
      <w:r w:rsidRPr="0080695B">
        <w:rPr>
          <w:rFonts w:ascii="Times New Roman" w:hAnsi="Times New Roman" w:cs="Times New Roman"/>
          <w:i/>
          <w:sz w:val="24"/>
          <w:szCs w:val="24"/>
        </w:rPr>
        <w:t xml:space="preserve"> </w:t>
      </w:r>
      <w:r w:rsidRPr="005528FD">
        <w:rPr>
          <w:rFonts w:ascii="Times New Roman" w:hAnsi="Times New Roman" w:cs="Times New Roman"/>
          <w:sz w:val="24"/>
          <w:szCs w:val="24"/>
        </w:rPr>
        <w:t>network</w:t>
      </w:r>
      <w:r w:rsidRPr="0080695B">
        <w:rPr>
          <w:rFonts w:ascii="Times New Roman" w:hAnsi="Times New Roman" w:cs="Times New Roman"/>
          <w:sz w:val="24"/>
          <w:szCs w:val="24"/>
        </w:rPr>
        <w:t xml:space="preserve"> maintained powerful ties to business elites in the post-communist regime, facilitating an extension of their political access into economic networks. The renewed and expanded Romanian lustration law of 2006-</w:t>
      </w:r>
      <w:r>
        <w:rPr>
          <w:rFonts w:ascii="Times New Roman" w:hAnsi="Times New Roman" w:cs="Times New Roman"/>
          <w:sz w:val="24"/>
          <w:szCs w:val="24"/>
        </w:rPr>
        <w:t>200</w:t>
      </w:r>
      <w:r w:rsidRPr="0080695B">
        <w:rPr>
          <w:rFonts w:ascii="Times New Roman" w:hAnsi="Times New Roman" w:cs="Times New Roman"/>
          <w:sz w:val="24"/>
          <w:szCs w:val="24"/>
        </w:rPr>
        <w:t>7 was proposed and circulated in Parliament at the same time as an anti-corruption law</w:t>
      </w:r>
      <w:r>
        <w:rPr>
          <w:rFonts w:ascii="Times New Roman" w:hAnsi="Times New Roman" w:cs="Times New Roman"/>
          <w:sz w:val="24"/>
          <w:szCs w:val="24"/>
        </w:rPr>
        <w:t>.</w:t>
      </w:r>
      <w:r w:rsidRPr="0080695B">
        <w:rPr>
          <w:rFonts w:ascii="Times New Roman" w:hAnsi="Times New Roman" w:cs="Times New Roman"/>
          <w:sz w:val="24"/>
          <w:szCs w:val="24"/>
        </w:rPr>
        <w:t xml:space="preserve"> When politicians argued</w:t>
      </w:r>
      <w:r>
        <w:rPr>
          <w:rFonts w:ascii="Times New Roman" w:hAnsi="Times New Roman" w:cs="Times New Roman"/>
          <w:sz w:val="24"/>
          <w:szCs w:val="24"/>
        </w:rPr>
        <w:t xml:space="preserve"> </w:t>
      </w:r>
      <w:r w:rsidRPr="0080695B">
        <w:rPr>
          <w:rFonts w:ascii="Times New Roman" w:hAnsi="Times New Roman" w:cs="Times New Roman"/>
          <w:sz w:val="24"/>
          <w:szCs w:val="24"/>
        </w:rPr>
        <w:t>for “the moral cleansing of society,” they were clearly framing lustration as a corruption corrective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 CNSAS’s public disclosures</w:t>
      </w:r>
      <w:r w:rsidRPr="0080695B">
        <w:rPr>
          <w:rFonts w:ascii="Times New Roman" w:hAnsi="Times New Roman" w:cs="Times New Roman"/>
          <w:sz w:val="24"/>
          <w:szCs w:val="24"/>
        </w:rPr>
        <w:t xml:space="preserve"> directive </w:t>
      </w:r>
      <w:r>
        <w:rPr>
          <w:rFonts w:ascii="Times New Roman" w:hAnsi="Times New Roman" w:cs="Times New Roman"/>
          <w:sz w:val="24"/>
          <w:szCs w:val="24"/>
        </w:rPr>
        <w:t>allowed</w:t>
      </w:r>
      <w:r w:rsidRPr="0080695B">
        <w:rPr>
          <w:rFonts w:ascii="Times New Roman" w:hAnsi="Times New Roman" w:cs="Times New Roman"/>
          <w:sz w:val="24"/>
          <w:szCs w:val="24"/>
        </w:rPr>
        <w:t xml:space="preserve"> them</w:t>
      </w:r>
      <w:r>
        <w:rPr>
          <w:rFonts w:ascii="Times New Roman" w:hAnsi="Times New Roman" w:cs="Times New Roman"/>
          <w:sz w:val="24"/>
          <w:szCs w:val="24"/>
        </w:rPr>
        <w:t xml:space="preserve"> to reveal</w:t>
      </w:r>
      <w:r w:rsidRPr="0080695B">
        <w:rPr>
          <w:rFonts w:ascii="Times New Roman" w:hAnsi="Times New Roman" w:cs="Times New Roman"/>
          <w:sz w:val="24"/>
          <w:szCs w:val="24"/>
        </w:rPr>
        <w:t xml:space="preserve"> the backgrounds of individuals in current positions of economic and political power, including related private sector fields, as part of the broader</w:t>
      </w:r>
      <w:r>
        <w:rPr>
          <w:rFonts w:ascii="Times New Roman" w:hAnsi="Times New Roman" w:cs="Times New Roman"/>
          <w:sz w:val="24"/>
          <w:szCs w:val="24"/>
        </w:rPr>
        <w:t>, national</w:t>
      </w:r>
      <w:r w:rsidRPr="0080695B">
        <w:rPr>
          <w:rFonts w:ascii="Times New Roman" w:hAnsi="Times New Roman" w:cs="Times New Roman"/>
          <w:sz w:val="24"/>
          <w:szCs w:val="24"/>
        </w:rPr>
        <w:t xml:space="preserve"> anti-corruption goals.</w:t>
      </w:r>
      <w:r w:rsidRPr="0080695B">
        <w:rPr>
          <w:rStyle w:val="FootnoteReference"/>
          <w:rFonts w:ascii="Times New Roman" w:hAnsi="Times New Roman" w:cs="Times New Roman"/>
          <w:sz w:val="24"/>
          <w:szCs w:val="24"/>
        </w:rPr>
        <w:footnoteReference w:id="50"/>
      </w:r>
      <w:r w:rsidRPr="0080695B">
        <w:rPr>
          <w:rFonts w:ascii="Times New Roman" w:hAnsi="Times New Roman" w:cs="Times New Roman"/>
          <w:sz w:val="24"/>
          <w:szCs w:val="24"/>
        </w:rPr>
        <w:t xml:space="preserve"> </w:t>
      </w:r>
      <w:r>
        <w:rPr>
          <w:rFonts w:ascii="Times New Roman" w:hAnsi="Times New Roman" w:cs="Times New Roman"/>
          <w:sz w:val="24"/>
          <w:szCs w:val="24"/>
        </w:rPr>
        <w:t>That said, it was not until late in the transition that Romania began its expansive public disclosure measures. T</w:t>
      </w:r>
      <w:r w:rsidR="0000512A">
        <w:rPr>
          <w:rFonts w:ascii="Times New Roman" w:hAnsi="Times New Roman" w:cs="Times New Roman"/>
          <w:sz w:val="24"/>
          <w:szCs w:val="24"/>
        </w:rPr>
        <w:t>hus</w:t>
      </w:r>
      <w:r>
        <w:rPr>
          <w:rFonts w:ascii="Times New Roman" w:hAnsi="Times New Roman" w:cs="Times New Roman"/>
          <w:sz w:val="24"/>
          <w:szCs w:val="24"/>
        </w:rPr>
        <w:t>, possible anti-corruption effects from transitional justice would also be late in the transition, if they were discernible at all. One would predict Romania’s corruption levels would be regionally high, given its relatively limited and late lustration measures.</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3.5 </w:t>
      </w:r>
      <w:r w:rsidRPr="0080695B">
        <w:rPr>
          <w:rFonts w:ascii="Times New Roman" w:hAnsi="Times New Roman" w:cs="Times New Roman"/>
          <w:sz w:val="24"/>
          <w:szCs w:val="24"/>
        </w:rPr>
        <w:t>co</w:t>
      </w:r>
      <w:r>
        <w:rPr>
          <w:rFonts w:ascii="Times New Roman" w:hAnsi="Times New Roman" w:cs="Times New Roman"/>
          <w:sz w:val="24"/>
          <w:szCs w:val="24"/>
        </w:rPr>
        <w:t>mpares the corruption levels in Romania with several other post-communist countries. Romania remained in the middle of the five countries as of 2015. Poland and Hungary had the lowest corruption levels, Albania the highest. Romania tracked closely with Bulgaria, with corruption levels declining in both countries after 2006, when the more expansive public disclosure programs began. Romania was not an extreme outlier, and showed improvement over time. It remained situated firmly in the middle of the countries considered here.</w:t>
      </w:r>
    </w:p>
    <w:p w:rsidR="00CF52CA" w:rsidRPr="005511D1" w:rsidRDefault="00CF52CA" w:rsidP="00CF52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3.5 HERE</w:t>
      </w:r>
    </w:p>
    <w:p w:rsidR="00CF52CA" w:rsidRPr="00F75D8E"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change in Romania’s corruption levels over time is curious, and suggests a possible role for transitional justice in this narrative. In particular, Romania’s corruption levels were </w:t>
      </w:r>
      <w:r>
        <w:rPr>
          <w:rFonts w:ascii="Times New Roman" w:hAnsi="Times New Roman" w:cs="Times New Roman"/>
          <w:sz w:val="24"/>
          <w:szCs w:val="24"/>
        </w:rPr>
        <w:lastRenderedPageBreak/>
        <w:t>significantly higher than Bulgaria’s in 2000-2006, but started a marked decline and even fell slightly below Bulgaria’s after 2006. This is the period that corresponded with the start of Romania’s significant file revelations and public disclosures program. Of note, Bulgaria’s also declined over this time period, corresponding with public disclosures under the Dossier Commission. Poland’s corruption levels slowly rose until 2006 with a noticeable and sharp decline around the same time as the country launched its late and expansive lustration program. Again, no causal claims can be made about the corruption fighting power of lustration and public disclosures, and lustration measures might simply be part of larger governmental reforms. What we can assert is that Romania’s corruption levels improved over time, corresponding with its late transition public disclosure program. Moreover, compared to other countries in the region, after 2006 Romania’s corruption levels were in the middle of similar post-communist experiences.</w:t>
      </w:r>
    </w:p>
    <w:p w:rsidR="00CF52CA" w:rsidRPr="00664B1F" w:rsidRDefault="00CF52CA" w:rsidP="00CF52CA">
      <w:pPr>
        <w:spacing w:after="0" w:line="480" w:lineRule="auto"/>
        <w:ind w:firstLine="720"/>
        <w:rPr>
          <w:rFonts w:ascii="Times New Roman" w:hAnsi="Times New Roman" w:cs="Times New Roman"/>
          <w:b/>
          <w:i/>
          <w:sz w:val="24"/>
          <w:szCs w:val="24"/>
        </w:rPr>
      </w:pPr>
      <w:r w:rsidRPr="00664B1F">
        <w:rPr>
          <w:rFonts w:ascii="Times New Roman" w:hAnsi="Times New Roman" w:cs="Times New Roman"/>
          <w:b/>
          <w:i/>
          <w:sz w:val="24"/>
          <w:szCs w:val="24"/>
        </w:rPr>
        <w:t>Democracy</w:t>
      </w:r>
    </w:p>
    <w:p w:rsidR="00CF52CA" w:rsidRPr="00DA32B3" w:rsidRDefault="00CF52CA" w:rsidP="00CF52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DA32B3">
        <w:rPr>
          <w:rFonts w:ascii="Times New Roman" w:hAnsi="Times New Roman" w:cs="Times New Roman"/>
          <w:sz w:val="24"/>
          <w:szCs w:val="24"/>
        </w:rPr>
        <w:t>cholar</w:t>
      </w:r>
      <w:r>
        <w:rPr>
          <w:rFonts w:ascii="Times New Roman" w:hAnsi="Times New Roman" w:cs="Times New Roman"/>
          <w:sz w:val="24"/>
          <w:szCs w:val="24"/>
        </w:rPr>
        <w:t xml:space="preserve">s and policy practitioners have </w:t>
      </w:r>
      <w:r w:rsidRPr="00DA32B3">
        <w:rPr>
          <w:rFonts w:ascii="Times New Roman" w:hAnsi="Times New Roman" w:cs="Times New Roman"/>
          <w:sz w:val="24"/>
          <w:szCs w:val="24"/>
        </w:rPr>
        <w:t xml:space="preserve">linked lustration to democratization, citing </w:t>
      </w:r>
      <w:r>
        <w:rPr>
          <w:rFonts w:ascii="Times New Roman" w:hAnsi="Times New Roman" w:cs="Times New Roman"/>
          <w:sz w:val="24"/>
          <w:szCs w:val="24"/>
        </w:rPr>
        <w:t>both bureaucratic changes and moral value realignments as possible causal mechanisms</w:t>
      </w:r>
      <w:r w:rsidRPr="00DA32B3">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DA32B3">
        <w:rPr>
          <w:rFonts w:ascii="Times New Roman" w:hAnsi="Times New Roman" w:cs="Times New Roman"/>
          <w:sz w:val="24"/>
          <w:szCs w:val="24"/>
        </w:rPr>
        <w:t xml:space="preserve"> </w:t>
      </w:r>
      <w:r>
        <w:rPr>
          <w:rFonts w:ascii="Times New Roman" w:hAnsi="Times New Roman" w:cs="Times New Roman"/>
          <w:sz w:val="24"/>
          <w:szCs w:val="24"/>
        </w:rPr>
        <w:t xml:space="preserve">For </w:t>
      </w:r>
      <w:proofErr w:type="spellStart"/>
      <w:r w:rsidRPr="00DA32B3">
        <w:rPr>
          <w:rFonts w:ascii="Times New Roman" w:hAnsi="Times New Roman" w:cs="Times New Roman"/>
          <w:sz w:val="24"/>
          <w:szCs w:val="24"/>
        </w:rPr>
        <w:t>Elster</w:t>
      </w:r>
      <w:proofErr w:type="spellEnd"/>
      <w:r>
        <w:rPr>
          <w:rFonts w:ascii="Times New Roman" w:hAnsi="Times New Roman" w:cs="Times New Roman"/>
          <w:sz w:val="24"/>
          <w:szCs w:val="24"/>
        </w:rPr>
        <w:t>,</w:t>
      </w:r>
      <w:r w:rsidRPr="00DA32B3">
        <w:rPr>
          <w:rFonts w:ascii="Times New Roman" w:hAnsi="Times New Roman" w:cs="Times New Roman"/>
          <w:sz w:val="24"/>
          <w:szCs w:val="24"/>
        </w:rPr>
        <w:t xml:space="preserve"> holding individuals accountable for their past actions could prevent future abuses under the new system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w:t>
      </w:r>
      <w:r w:rsidRPr="00DA32B3">
        <w:rPr>
          <w:rFonts w:ascii="Times New Roman" w:hAnsi="Times New Roman" w:cs="Times New Roman"/>
          <w:sz w:val="24"/>
          <w:szCs w:val="24"/>
        </w:rPr>
        <w:t>his way, lustration as a punitive consequen</w:t>
      </w:r>
      <w:r>
        <w:rPr>
          <w:rFonts w:ascii="Times New Roman" w:hAnsi="Times New Roman" w:cs="Times New Roman"/>
          <w:sz w:val="24"/>
          <w:szCs w:val="24"/>
        </w:rPr>
        <w:t>ce could support democracy</w:t>
      </w:r>
      <w:r w:rsidRPr="00DA32B3">
        <w:rPr>
          <w:rFonts w:ascii="Times New Roman" w:hAnsi="Times New Roman" w:cs="Times New Roman"/>
          <w:sz w:val="24"/>
          <w:szCs w:val="24"/>
        </w:rPr>
        <w:t xml:space="preserve"> by creating an environment in which </w:t>
      </w:r>
      <w:r>
        <w:rPr>
          <w:rFonts w:ascii="Times New Roman" w:hAnsi="Times New Roman" w:cs="Times New Roman"/>
          <w:sz w:val="24"/>
          <w:szCs w:val="24"/>
        </w:rPr>
        <w:t>individuals we</w:t>
      </w:r>
      <w:r w:rsidRPr="00DA32B3">
        <w:rPr>
          <w:rFonts w:ascii="Times New Roman" w:hAnsi="Times New Roman" w:cs="Times New Roman"/>
          <w:sz w:val="24"/>
          <w:szCs w:val="24"/>
        </w:rPr>
        <w:t>re</w:t>
      </w:r>
      <w:r>
        <w:rPr>
          <w:rFonts w:ascii="Times New Roman" w:hAnsi="Times New Roman" w:cs="Times New Roman"/>
          <w:sz w:val="24"/>
          <w:szCs w:val="24"/>
        </w:rPr>
        <w:t xml:space="preserve"> accountable for their actions.</w:t>
      </w:r>
      <w:r w:rsidRPr="00DA32B3">
        <w:rPr>
          <w:rFonts w:ascii="Times New Roman" w:hAnsi="Times New Roman" w:cs="Times New Roman"/>
          <w:sz w:val="24"/>
          <w:szCs w:val="24"/>
        </w:rPr>
        <w:t xml:space="preserve"> Other scholars suggest</w:t>
      </w:r>
      <w:r>
        <w:rPr>
          <w:rFonts w:ascii="Times New Roman" w:hAnsi="Times New Roman" w:cs="Times New Roman"/>
          <w:sz w:val="24"/>
          <w:szCs w:val="24"/>
        </w:rPr>
        <w:t>ed that democratization wa</w:t>
      </w:r>
      <w:r w:rsidRPr="00DA32B3">
        <w:rPr>
          <w:rFonts w:ascii="Times New Roman" w:hAnsi="Times New Roman" w:cs="Times New Roman"/>
          <w:sz w:val="24"/>
          <w:szCs w:val="24"/>
        </w:rPr>
        <w:t>s indirectly promoted by combating corruption and preventing the continued abuse of power by officials associated with the old regime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sidRPr="00DA32B3">
        <w:rPr>
          <w:rFonts w:ascii="Times New Roman" w:hAnsi="Times New Roman" w:cs="Times New Roman"/>
          <w:sz w:val="24"/>
          <w:szCs w:val="24"/>
        </w:rPr>
        <w:t xml:space="preserve"> </w:t>
      </w:r>
      <w:r>
        <w:rPr>
          <w:rFonts w:ascii="Times New Roman" w:hAnsi="Times New Roman" w:cs="Times New Roman"/>
          <w:sz w:val="24"/>
          <w:szCs w:val="24"/>
        </w:rPr>
        <w:t>Given these connections, one would predict that countries with limited transitional justice would make less progress in democratization.</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Figure 3.6 compares</w:t>
      </w:r>
      <w:r w:rsidRPr="00DA32B3">
        <w:rPr>
          <w:rFonts w:ascii="Times New Roman" w:hAnsi="Times New Roman" w:cs="Times New Roman"/>
          <w:sz w:val="24"/>
          <w:szCs w:val="24"/>
        </w:rPr>
        <w:t xml:space="preserve"> </w:t>
      </w:r>
      <w:r>
        <w:rPr>
          <w:rFonts w:ascii="Times New Roman" w:hAnsi="Times New Roman" w:cs="Times New Roman"/>
          <w:sz w:val="24"/>
          <w:szCs w:val="24"/>
        </w:rPr>
        <w:t>Romania’s democratization levels over time to its post-communist counterparts. Romania once again was in the middle of the group, ranking above Albania, for which there was limited reform and very limited transitional justice, and on par with Bulgaria and Hungary. Only Poland had significantly higher democracy scores. Romania’s democracy levels remained largely stable over time, showing no significant improvement during the wave of late transitional justice and public disclosures after 2006. However, Romania did not regress, something unfortunately visible in the case of Hungary. While Romanian democracy has not benefited from late transitional justice measures, Figure 6 once again placed Romania’s reform outcomes in the middle of similarly situated post-communist countries.</w:t>
      </w:r>
    </w:p>
    <w:p w:rsidR="00CF52CA" w:rsidRDefault="00CF52CA" w:rsidP="00CF52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 Romania would surely rank below the Czech Republic in terms of corruption and democratization levels. However, comparing Romania to the regional vanguard case, or the slightly exceptional cases of the Baltics, would not tell us much about Romania’s transition. The point was to review Romania’s progress compared to its regional compatriots (Albania and Bulgaria) and countries considered one step higher up the ladder of regional transitional justice reforms (Hungary and Poland). When Romania was viewed from this contextualized perspective, it appeared in the middle of the pack, higher in terms of trust in public institutions than some, and lower in terms of democracy than others. Overall, Romania’s reform measures and reform outcomes placed it within the middle of other post-communist experiences.</w:t>
      </w:r>
    </w:p>
    <w:p w:rsidR="00CF52CA" w:rsidRDefault="00CF52CA" w:rsidP="00CF52CA">
      <w:pPr>
        <w:spacing w:after="0" w:line="480" w:lineRule="auto"/>
        <w:jc w:val="center"/>
        <w:rPr>
          <w:rFonts w:ascii="Times New Roman" w:hAnsi="Times New Roman" w:cs="Times New Roman"/>
          <w:sz w:val="24"/>
          <w:szCs w:val="24"/>
        </w:rPr>
      </w:pPr>
      <w:r w:rsidRPr="005511D1">
        <w:rPr>
          <w:rFonts w:ascii="Times New Roman" w:hAnsi="Times New Roman" w:cs="Times New Roman"/>
          <w:sz w:val="24"/>
          <w:szCs w:val="24"/>
        </w:rPr>
        <w:t>INSERT FIGURE 3.6 HERE</w:t>
      </w:r>
    </w:p>
    <w:p w:rsidR="00CF52CA" w:rsidRPr="005511D1" w:rsidRDefault="00CF52CA" w:rsidP="00CF52CA">
      <w:pPr>
        <w:spacing w:after="0" w:line="480" w:lineRule="auto"/>
        <w:jc w:val="center"/>
        <w:rPr>
          <w:rFonts w:ascii="Times New Roman" w:hAnsi="Times New Roman" w:cs="Times New Roman"/>
          <w:sz w:val="24"/>
          <w:szCs w:val="24"/>
        </w:rPr>
      </w:pPr>
    </w:p>
    <w:p w:rsidR="00CF52CA" w:rsidRPr="00CD2AA1" w:rsidRDefault="00CF52CA" w:rsidP="00CF52CA">
      <w:pPr>
        <w:spacing w:after="0" w:line="480" w:lineRule="auto"/>
        <w:jc w:val="center"/>
        <w:rPr>
          <w:rFonts w:ascii="Times New Roman" w:hAnsi="Times New Roman" w:cs="Times New Roman"/>
          <w:b/>
          <w:sz w:val="24"/>
          <w:szCs w:val="24"/>
        </w:rPr>
      </w:pPr>
      <w:r w:rsidRPr="00CD2AA1">
        <w:rPr>
          <w:rFonts w:ascii="Times New Roman" w:hAnsi="Times New Roman" w:cs="Times New Roman"/>
          <w:b/>
          <w:sz w:val="24"/>
          <w:szCs w:val="24"/>
        </w:rPr>
        <w:t>Conclusion</w:t>
      </w:r>
    </w:p>
    <w:p w:rsidR="00CF52CA" w:rsidRDefault="00CF52CA" w:rsidP="00CF52CA">
      <w:pPr>
        <w:spacing w:after="0" w:line="480" w:lineRule="auto"/>
        <w:ind w:firstLine="720"/>
        <w:rPr>
          <w:rFonts w:ascii="Times New Roman" w:eastAsia="Times New Roman" w:hAnsi="Times New Roman" w:cs="Times New Roman"/>
          <w:color w:val="000000"/>
          <w:sz w:val="24"/>
          <w:szCs w:val="24"/>
        </w:rPr>
      </w:pPr>
      <w:r w:rsidRPr="009E060A">
        <w:rPr>
          <w:rFonts w:ascii="Times New Roman" w:hAnsi="Times New Roman" w:cs="Times New Roman"/>
          <w:sz w:val="24"/>
          <w:szCs w:val="24"/>
        </w:rPr>
        <w:t xml:space="preserve">This chapter provided a short retrospective on Romania’s experience with lustration and public disclosure, putting both its transitional justice and progress on several transition goals </w:t>
      </w:r>
      <w:r w:rsidRPr="009E060A">
        <w:rPr>
          <w:rFonts w:ascii="Times New Roman" w:hAnsi="Times New Roman" w:cs="Times New Roman"/>
          <w:sz w:val="24"/>
          <w:szCs w:val="24"/>
        </w:rPr>
        <w:lastRenderedPageBreak/>
        <w:t xml:space="preserve">within a regional context. Both the lustration measures and the informal public disclosures </w:t>
      </w:r>
      <w:r>
        <w:rPr>
          <w:rFonts w:ascii="Times New Roman" w:hAnsi="Times New Roman" w:cs="Times New Roman"/>
          <w:sz w:val="24"/>
          <w:szCs w:val="24"/>
        </w:rPr>
        <w:t>overseen by the CNSAS</w:t>
      </w:r>
      <w:r w:rsidRPr="009E060A">
        <w:rPr>
          <w:rFonts w:ascii="Times New Roman" w:hAnsi="Times New Roman" w:cs="Times New Roman"/>
          <w:sz w:val="24"/>
          <w:szCs w:val="24"/>
        </w:rPr>
        <w:t xml:space="preserve"> have suffered from </w:t>
      </w:r>
      <w:r>
        <w:rPr>
          <w:rFonts w:ascii="Times New Roman" w:hAnsi="Times New Roman" w:cs="Times New Roman"/>
          <w:sz w:val="24"/>
          <w:szCs w:val="24"/>
        </w:rPr>
        <w:t xml:space="preserve">delays, </w:t>
      </w:r>
      <w:r w:rsidRPr="009E060A">
        <w:rPr>
          <w:rFonts w:ascii="Times New Roman" w:hAnsi="Times New Roman" w:cs="Times New Roman"/>
          <w:sz w:val="24"/>
          <w:szCs w:val="24"/>
        </w:rPr>
        <w:t xml:space="preserve">problematic implementation, political </w:t>
      </w:r>
      <w:proofErr w:type="spellStart"/>
      <w:r w:rsidRPr="009E060A">
        <w:rPr>
          <w:rFonts w:ascii="Times New Roman" w:hAnsi="Times New Roman" w:cs="Times New Roman"/>
          <w:sz w:val="24"/>
          <w:szCs w:val="24"/>
        </w:rPr>
        <w:t>instrumentalization</w:t>
      </w:r>
      <w:proofErr w:type="spellEnd"/>
      <w:r w:rsidRPr="009E060A">
        <w:rPr>
          <w:rFonts w:ascii="Times New Roman" w:hAnsi="Times New Roman" w:cs="Times New Roman"/>
          <w:sz w:val="24"/>
          <w:szCs w:val="24"/>
        </w:rPr>
        <w:t>, and information bias. Although this chapter did not engage with other forms of transitional justice in Romania, like the</w:t>
      </w:r>
      <w:r w:rsidRPr="009E060A">
        <w:rPr>
          <w:rFonts w:ascii="Times New Roman" w:eastAsia="Times New Roman" w:hAnsi="Times New Roman" w:cs="Times New Roman"/>
          <w:sz w:val="24"/>
          <w:szCs w:val="24"/>
        </w:rPr>
        <w:t xml:space="preserve"> </w:t>
      </w:r>
      <w:proofErr w:type="spellStart"/>
      <w:r w:rsidRPr="009E060A">
        <w:rPr>
          <w:rFonts w:ascii="Times New Roman" w:hAnsi="Times New Roman" w:cs="Times New Roman"/>
          <w:bCs/>
          <w:sz w:val="24"/>
          <w:szCs w:val="24"/>
        </w:rPr>
        <w:t>Tismăneanu</w:t>
      </w:r>
      <w:proofErr w:type="spellEnd"/>
      <w:r w:rsidRPr="009E060A">
        <w:rPr>
          <w:rFonts w:ascii="Times New Roman" w:hAnsi="Times New Roman" w:cs="Times New Roman"/>
          <w:sz w:val="24"/>
          <w:szCs w:val="24"/>
        </w:rPr>
        <w:t xml:space="preserve"> Commission </w:t>
      </w:r>
      <w:r>
        <w:rPr>
          <w:rFonts w:ascii="Times New Roman" w:hAnsi="Times New Roman" w:cs="Times New Roman"/>
          <w:sz w:val="24"/>
          <w:szCs w:val="24"/>
        </w:rPr>
        <w:t>or</w:t>
      </w:r>
      <w:r w:rsidRPr="009E060A">
        <w:rPr>
          <w:rFonts w:ascii="Times New Roman" w:hAnsi="Times New Roman" w:cs="Times New Roman"/>
          <w:sz w:val="24"/>
          <w:szCs w:val="24"/>
        </w:rPr>
        <w:t xml:space="preserve"> property restitution, there were similar problems with </w:t>
      </w:r>
      <w:r>
        <w:rPr>
          <w:rFonts w:ascii="Times New Roman" w:hAnsi="Times New Roman" w:cs="Times New Roman"/>
          <w:sz w:val="24"/>
          <w:szCs w:val="24"/>
        </w:rPr>
        <w:t>their implementation.</w:t>
      </w:r>
      <w:r w:rsidRPr="009E060A">
        <w:rPr>
          <w:rFonts w:ascii="Times New Roman" w:hAnsi="Times New Roman" w:cs="Times New Roman"/>
          <w:sz w:val="24"/>
          <w:szCs w:val="24"/>
        </w:rPr>
        <w:t xml:space="preserve"> </w:t>
      </w:r>
      <w:r>
        <w:rPr>
          <w:rFonts w:ascii="Times New Roman" w:hAnsi="Times New Roman" w:cs="Times New Roman"/>
          <w:sz w:val="24"/>
          <w:szCs w:val="24"/>
        </w:rPr>
        <w:t>T</w:t>
      </w:r>
      <w:r w:rsidRPr="009E060A">
        <w:rPr>
          <w:rFonts w:ascii="Times New Roman" w:hAnsi="Times New Roman" w:cs="Times New Roman"/>
          <w:sz w:val="24"/>
          <w:szCs w:val="24"/>
        </w:rPr>
        <w:t xml:space="preserve">he Commission produced a </w:t>
      </w:r>
      <w:r>
        <w:rPr>
          <w:rFonts w:ascii="Times New Roman" w:hAnsi="Times New Roman" w:cs="Times New Roman"/>
          <w:sz w:val="24"/>
          <w:szCs w:val="24"/>
        </w:rPr>
        <w:t xml:space="preserve">rushed </w:t>
      </w:r>
      <w:r w:rsidRPr="009E060A">
        <w:rPr>
          <w:rFonts w:ascii="Times New Roman" w:hAnsi="Times New Roman" w:cs="Times New Roman"/>
          <w:sz w:val="24"/>
          <w:szCs w:val="24"/>
        </w:rPr>
        <w:t>report on communist repression</w:t>
      </w:r>
      <w:r>
        <w:rPr>
          <w:rFonts w:ascii="Times New Roman" w:hAnsi="Times New Roman" w:cs="Times New Roman"/>
          <w:sz w:val="24"/>
          <w:szCs w:val="24"/>
        </w:rPr>
        <w:t xml:space="preserve"> that</w:t>
      </w:r>
      <w:r w:rsidRPr="009E060A">
        <w:rPr>
          <w:rFonts w:ascii="Times New Roman" w:hAnsi="Times New Roman" w:cs="Times New Roman"/>
          <w:sz w:val="24"/>
          <w:szCs w:val="24"/>
        </w:rPr>
        <w:t xml:space="preserve"> was largely </w:t>
      </w:r>
      <w:proofErr w:type="gramStart"/>
      <w:r w:rsidRPr="009E060A">
        <w:rPr>
          <w:rFonts w:ascii="Times New Roman" w:hAnsi="Times New Roman" w:cs="Times New Roman"/>
          <w:sz w:val="24"/>
          <w:szCs w:val="24"/>
        </w:rPr>
        <w:t>academic</w:t>
      </w:r>
      <w:r>
        <w:rPr>
          <w:rFonts w:ascii="Times New Roman" w:hAnsi="Times New Roman" w:cs="Times New Roman"/>
          <w:sz w:val="24"/>
          <w:szCs w:val="24"/>
        </w:rPr>
        <w:t xml:space="preserve"> </w:t>
      </w:r>
      <w:proofErr w:type="gramEnd"/>
      <w:r w:rsidRPr="009E060A">
        <w:rPr>
          <w:rStyle w:val="EndnoteReference"/>
          <w:rFonts w:ascii="Times New Roman" w:hAnsi="Times New Roman" w:cs="Times New Roman"/>
          <w:color w:val="000000"/>
          <w:sz w:val="24"/>
          <w:szCs w:val="24"/>
          <w:vertAlign w:val="baseline"/>
        </w:rPr>
        <w:t>and without real impact</w:t>
      </w:r>
      <w:r w:rsidRPr="009E060A">
        <w:rPr>
          <w:rFonts w:ascii="Times New Roman" w:hAnsi="Times New Roman" w:cs="Times New Roman"/>
          <w:color w:val="000000"/>
          <w:sz w:val="24"/>
          <w:szCs w:val="24"/>
        </w:rPr>
        <w:t>.</w:t>
      </w:r>
      <w:r w:rsidRPr="009E060A">
        <w:rPr>
          <w:rStyle w:val="FootnoteReference"/>
          <w:rFonts w:ascii="Times New Roman" w:hAnsi="Times New Roman" w:cs="Times New Roman"/>
          <w:color w:val="000000"/>
          <w:sz w:val="24"/>
          <w:szCs w:val="24"/>
        </w:rPr>
        <w:footnoteReference w:id="54"/>
      </w:r>
      <w:r w:rsidRPr="009E060A">
        <w:rPr>
          <w:rFonts w:ascii="Times New Roman" w:hAnsi="Times New Roman" w:cs="Times New Roman"/>
          <w:color w:val="000000"/>
          <w:sz w:val="24"/>
          <w:szCs w:val="24"/>
        </w:rPr>
        <w:t xml:space="preserve"> </w:t>
      </w:r>
      <w:r w:rsidRPr="009E060A">
        <w:rPr>
          <w:rFonts w:ascii="Times New Roman" w:hAnsi="Times New Roman" w:cs="Times New Roman"/>
          <w:sz w:val="24"/>
          <w:szCs w:val="24"/>
        </w:rPr>
        <w:t xml:space="preserve">The final results were somewhat tainted by the inclusion of two </w:t>
      </w:r>
      <w:r w:rsidRPr="00D401B9">
        <w:rPr>
          <w:rFonts w:ascii="Times New Roman" w:hAnsi="Times New Roman" w:cs="Times New Roman"/>
          <w:sz w:val="24"/>
          <w:szCs w:val="24"/>
        </w:rPr>
        <w:t>Securitate</w:t>
      </w:r>
      <w:r w:rsidRPr="009E060A">
        <w:rPr>
          <w:rFonts w:ascii="Times New Roman" w:hAnsi="Times New Roman" w:cs="Times New Roman"/>
          <w:sz w:val="24"/>
          <w:szCs w:val="24"/>
        </w:rPr>
        <w:t xml:space="preserve"> members on the </w:t>
      </w:r>
      <w:r>
        <w:rPr>
          <w:rFonts w:ascii="Times New Roman" w:hAnsi="Times New Roman" w:cs="Times New Roman"/>
          <w:sz w:val="24"/>
          <w:szCs w:val="24"/>
        </w:rPr>
        <w:t>C</w:t>
      </w:r>
      <w:r w:rsidRPr="009E060A">
        <w:rPr>
          <w:rFonts w:ascii="Times New Roman" w:hAnsi="Times New Roman" w:cs="Times New Roman"/>
          <w:sz w:val="24"/>
          <w:szCs w:val="24"/>
        </w:rPr>
        <w:t>ommission.</w:t>
      </w:r>
      <w:r w:rsidRPr="009E060A">
        <w:rPr>
          <w:rStyle w:val="FootnoteReference"/>
          <w:rFonts w:ascii="Times New Roman" w:hAnsi="Times New Roman" w:cs="Times New Roman"/>
          <w:sz w:val="24"/>
          <w:szCs w:val="24"/>
        </w:rPr>
        <w:footnoteReference w:id="55"/>
      </w:r>
      <w:r w:rsidRPr="009E060A">
        <w:rPr>
          <w:rFonts w:ascii="Times New Roman" w:hAnsi="Times New Roman" w:cs="Times New Roman"/>
          <w:sz w:val="24"/>
          <w:szCs w:val="24"/>
        </w:rPr>
        <w:t xml:space="preserve"> </w:t>
      </w:r>
      <w:r w:rsidRPr="009E060A">
        <w:rPr>
          <w:rFonts w:ascii="Times New Roman" w:eastAsia="Times New Roman" w:hAnsi="Times New Roman" w:cs="Times New Roman"/>
          <w:color w:val="000000"/>
          <w:sz w:val="24"/>
          <w:szCs w:val="24"/>
        </w:rPr>
        <w:t>Legislation was passed in 1990, 1992 and 2001 to allow some property restitution,</w:t>
      </w:r>
      <w:r w:rsidRPr="009E060A">
        <w:rPr>
          <w:rFonts w:ascii="Times New Roman" w:hAnsi="Times New Roman" w:cs="Times New Roman"/>
          <w:i/>
          <w:sz w:val="24"/>
          <w:szCs w:val="24"/>
        </w:rPr>
        <w:t xml:space="preserve"> </w:t>
      </w:r>
      <w:r>
        <w:rPr>
          <w:rFonts w:ascii="Times New Roman" w:hAnsi="Times New Roman" w:cs="Times New Roman"/>
          <w:sz w:val="24"/>
          <w:szCs w:val="24"/>
        </w:rPr>
        <w:t>but</w:t>
      </w:r>
      <w:r>
        <w:rPr>
          <w:rFonts w:ascii="Times New Roman" w:eastAsia="Times New Roman" w:hAnsi="Times New Roman" w:cs="Times New Roman"/>
          <w:color w:val="000000"/>
          <w:sz w:val="24"/>
          <w:szCs w:val="24"/>
        </w:rPr>
        <w:t xml:space="preserve"> in practice</w:t>
      </w:r>
      <w:r w:rsidRPr="009E060A">
        <w:rPr>
          <w:rFonts w:ascii="Times New Roman" w:eastAsia="Times New Roman" w:hAnsi="Times New Roman" w:cs="Times New Roman"/>
          <w:color w:val="000000"/>
          <w:sz w:val="24"/>
          <w:szCs w:val="24"/>
        </w:rPr>
        <w:t xml:space="preserve"> man</w:t>
      </w:r>
      <w:r>
        <w:rPr>
          <w:rFonts w:ascii="Times New Roman" w:eastAsia="Times New Roman" w:hAnsi="Times New Roman" w:cs="Times New Roman"/>
          <w:color w:val="000000"/>
          <w:sz w:val="24"/>
          <w:szCs w:val="24"/>
        </w:rPr>
        <w:t>y of the court-</w:t>
      </w:r>
      <w:r w:rsidRPr="009E060A">
        <w:rPr>
          <w:rFonts w:ascii="Times New Roman" w:eastAsia="Times New Roman" w:hAnsi="Times New Roman" w:cs="Times New Roman"/>
          <w:color w:val="000000"/>
          <w:sz w:val="24"/>
          <w:szCs w:val="24"/>
        </w:rPr>
        <w:t xml:space="preserve">approved property restitution cases were rejected by Romanian authorities, with </w:t>
      </w:r>
      <w:r w:rsidRPr="009E060A">
        <w:rPr>
          <w:rFonts w:ascii="Times New Roman" w:eastAsia="Times New Roman" w:hAnsi="Times New Roman" w:cs="Times New Roman"/>
          <w:sz w:val="24"/>
          <w:szCs w:val="24"/>
        </w:rPr>
        <w:t>very few properties returned to the original owners</w:t>
      </w:r>
      <w:r>
        <w:rPr>
          <w:rFonts w:ascii="Times New Roman" w:eastAsia="Times New Roman" w:hAnsi="Times New Roman" w:cs="Times New Roman"/>
          <w:sz w:val="24"/>
          <w:szCs w:val="24"/>
        </w:rPr>
        <w:t>,</w:t>
      </w:r>
      <w:r w:rsidRPr="009E060A">
        <w:rPr>
          <w:rFonts w:ascii="Times New Roman" w:eastAsia="Times New Roman" w:hAnsi="Times New Roman" w:cs="Times New Roman"/>
          <w:sz w:val="24"/>
          <w:szCs w:val="24"/>
        </w:rPr>
        <w:t xml:space="preserve"> </w:t>
      </w:r>
      <w:r w:rsidRPr="009E060A">
        <w:rPr>
          <w:rFonts w:ascii="Times New Roman" w:eastAsia="Times New Roman" w:hAnsi="Times New Roman" w:cs="Times New Roman"/>
          <w:color w:val="000000"/>
          <w:sz w:val="24"/>
          <w:szCs w:val="24"/>
        </w:rPr>
        <w:t>in a familiar cycle of failed reforms.</w:t>
      </w:r>
      <w:r w:rsidRPr="009E060A">
        <w:rPr>
          <w:rStyle w:val="FootnoteReference"/>
          <w:rFonts w:ascii="Times New Roman" w:eastAsia="Times New Roman" w:hAnsi="Times New Roman" w:cs="Times New Roman"/>
          <w:color w:val="000000"/>
          <w:sz w:val="24"/>
          <w:szCs w:val="24"/>
        </w:rPr>
        <w:footnoteReference w:id="56"/>
      </w:r>
      <w:r w:rsidRPr="009E06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considered altogether, Romania’s record of transitional justice was tainted.</w:t>
      </w:r>
    </w:p>
    <w:p w:rsidR="00CF52CA" w:rsidRDefault="00CF52CA" w:rsidP="00CF52CA">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Putting this record in context, Romania looks similar to other post-communist countries.  Most of the post-communist states, including Poland, Hungary and Lithuania, experienced politicized, delayed, and/or narrowed or truncated measures over the course of their transitional justice efforts. Romania’s late public disclosure program was temporally and structurally similar to Bulgaria’s, and a significant improvement compared to Albania’s. In a word, Romania’s flawed transitional justice program was unfortunately not regionally anomalous. Romania’s missed opportunities were post-communist missed opportunities, with all of the countries in the region struggling to implement measures that could authentically and fairly engage with the past. Romania is neither the regional laggard nor the regional vanguard, but finds itself at an uncomfortable spot in the middle.</w:t>
      </w:r>
    </w:p>
    <w:p w:rsidR="00CF52CA" w:rsidRDefault="00CF52CA" w:rsidP="00CF52CA">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Given Romania’s poor performance with transitional justice, one might predict that the country would be a regional laggard in terms of meeting transition goals. Countries with significantly more transitional justice did have higher democratization measures and lower corruption levels, suggesting that Romania missed opportunities to leverage transitional justice measures and facilitate various transition goals. Be that as it may, when evaluating changes in Romania’s levels of trust in public institutions, corruption and democratization over time, Romania once again appeared in the middle of post-communist comparison countries. Romania’s trust in public institutions rose, corresponding with the post-2006 period of more transparency about the past. Corruption levels also declined commensurate with public disclosure programs. While Romania missed opportunities for meaningful reform early in the transition, and repeatedly thwarted its own transitional justice efforts, it still remained in the middle of countries on a number of transition goal metrics after 2006. While Romania is not at the vanguard of regional reforms, it outpaced its Balkan compatriots on many metrics. Its transitional justice measures were in the middle of other regional efforts, and its transition outcomes remained in the middle as well. While this is not a glowing endorsement of Romania’s post-transition democratization efforts, it is also not an across the board condemnation, perhaps hinting at limitations in transitional justice measures more generally.</w:t>
      </w:r>
    </w:p>
    <w:p w:rsidR="002044DC" w:rsidRDefault="00CF52CA" w:rsidP="00CF52CA">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conclusion, the temporal window for using transitional justice might be closed (or rapidly closing) more than 25 years after the fall of communism. There was no evidence that the post-2006 measures affected democracy levels in Romania, and corruption levels were plateauing. This means that it is unlikely that more transitional justice will solidify democracy or change perceptions of trust in government or public institutions so late in the transition. Transitional justice does not have a built-in expiration date, and accountability, transparency, and </w:t>
      </w:r>
      <w:r>
        <w:rPr>
          <w:rFonts w:ascii="Times New Roman" w:eastAsia="Times New Roman" w:hAnsi="Times New Roman" w:cs="Times New Roman"/>
          <w:color w:val="000000"/>
          <w:sz w:val="24"/>
          <w:szCs w:val="24"/>
        </w:rPr>
        <w:lastRenderedPageBreak/>
        <w:t>acknowledgment of the past are goals in and of themselves. However, at this point in the transition, real progress on democracy, corruption, rule of law, and civil society might require more than transitional justice measures.</w:t>
      </w:r>
    </w:p>
    <w:p w:rsidR="002044DC" w:rsidRPr="00B976DF" w:rsidRDefault="002044DC" w:rsidP="002044DC">
      <w:pPr>
        <w:rPr>
          <w:rFonts w:ascii="Times New Roman" w:hAnsi="Times New Roman" w:cs="Times New Roman"/>
          <w:sz w:val="24"/>
          <w:szCs w:val="24"/>
        </w:rPr>
      </w:pPr>
      <w:r>
        <w:rPr>
          <w:rFonts w:ascii="Times New Roman" w:eastAsia="Times New Roman" w:hAnsi="Times New Roman" w:cs="Times New Roman"/>
          <w:color w:val="000000"/>
          <w:sz w:val="24"/>
          <w:szCs w:val="24"/>
        </w:rPr>
        <w:br w:type="column"/>
      </w:r>
      <w:r w:rsidRPr="001423E5">
        <w:rPr>
          <w:rFonts w:ascii="Times New Roman" w:hAnsi="Times New Roman" w:cs="Times New Roman"/>
          <w:b/>
        </w:rPr>
        <w:lastRenderedPageBreak/>
        <w:t xml:space="preserve">Table </w:t>
      </w:r>
      <w:r>
        <w:rPr>
          <w:rFonts w:ascii="Times New Roman" w:hAnsi="Times New Roman" w:cs="Times New Roman"/>
          <w:b/>
        </w:rPr>
        <w:t>3.</w:t>
      </w:r>
      <w:r w:rsidRPr="001423E5">
        <w:rPr>
          <w:rFonts w:ascii="Times New Roman" w:hAnsi="Times New Roman" w:cs="Times New Roman"/>
          <w:b/>
        </w:rPr>
        <w:t>1: Lustration, Public Disclosure and File Access Laws and Policies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63"/>
      </w:tblGrid>
      <w:tr w:rsidR="002044DC" w:rsidRPr="001423E5" w:rsidTr="009E5BA9">
        <w:tc>
          <w:tcPr>
            <w:tcW w:w="1188" w:type="dxa"/>
          </w:tcPr>
          <w:p w:rsidR="002044DC" w:rsidRPr="001423E5" w:rsidRDefault="002044DC" w:rsidP="009E5BA9">
            <w:pPr>
              <w:spacing w:after="0" w:line="240" w:lineRule="auto"/>
              <w:jc w:val="center"/>
              <w:rPr>
                <w:rFonts w:ascii="Times New Roman" w:hAnsi="Times New Roman" w:cs="Times New Roman"/>
                <w:b/>
              </w:rPr>
            </w:pPr>
          </w:p>
          <w:p w:rsidR="002044DC" w:rsidRPr="001423E5" w:rsidRDefault="002044DC" w:rsidP="009E5BA9">
            <w:pPr>
              <w:spacing w:after="0" w:line="240" w:lineRule="auto"/>
              <w:jc w:val="center"/>
              <w:rPr>
                <w:rFonts w:ascii="Times New Roman" w:hAnsi="Times New Roman" w:cs="Times New Roman"/>
                <w:b/>
              </w:rPr>
            </w:pPr>
            <w:r w:rsidRPr="001423E5">
              <w:rPr>
                <w:rFonts w:ascii="Times New Roman" w:hAnsi="Times New Roman" w:cs="Times New Roman"/>
                <w:b/>
              </w:rPr>
              <w:t>Country</w:t>
            </w:r>
          </w:p>
          <w:p w:rsidR="002044DC" w:rsidRPr="001423E5" w:rsidRDefault="002044DC" w:rsidP="009E5BA9">
            <w:pPr>
              <w:spacing w:after="0" w:line="240" w:lineRule="auto"/>
              <w:jc w:val="center"/>
              <w:rPr>
                <w:rFonts w:ascii="Times New Roman" w:hAnsi="Times New Roman" w:cs="Times New Roman"/>
                <w:b/>
              </w:rPr>
            </w:pPr>
          </w:p>
        </w:tc>
        <w:tc>
          <w:tcPr>
            <w:tcW w:w="8163" w:type="dxa"/>
          </w:tcPr>
          <w:p w:rsidR="002044DC" w:rsidRPr="001423E5" w:rsidRDefault="002044DC" w:rsidP="009E5BA9">
            <w:pPr>
              <w:spacing w:after="0" w:line="240" w:lineRule="auto"/>
              <w:jc w:val="center"/>
              <w:rPr>
                <w:rFonts w:ascii="Times New Roman" w:hAnsi="Times New Roman" w:cs="Times New Roman"/>
                <w:b/>
              </w:rPr>
            </w:pPr>
          </w:p>
          <w:p w:rsidR="002044DC" w:rsidRPr="001423E5" w:rsidRDefault="002044DC" w:rsidP="009E5BA9">
            <w:pPr>
              <w:spacing w:after="0" w:line="240" w:lineRule="auto"/>
              <w:jc w:val="center"/>
              <w:rPr>
                <w:rFonts w:ascii="Times New Roman" w:hAnsi="Times New Roman" w:cs="Times New Roman"/>
                <w:b/>
              </w:rPr>
            </w:pPr>
            <w:r>
              <w:rPr>
                <w:rFonts w:ascii="Times New Roman" w:hAnsi="Times New Roman" w:cs="Times New Roman"/>
                <w:b/>
              </w:rPr>
              <w:t>Transitional justice m</w:t>
            </w:r>
            <w:r w:rsidRPr="001423E5">
              <w:rPr>
                <w:rFonts w:ascii="Times New Roman" w:hAnsi="Times New Roman" w:cs="Times New Roman"/>
                <w:b/>
              </w:rPr>
              <w:t>easures (both passed and rejected)</w:t>
            </w:r>
          </w:p>
        </w:tc>
      </w:tr>
      <w:tr w:rsidR="002044DC" w:rsidRPr="001423E5" w:rsidTr="009E5BA9">
        <w:tc>
          <w:tcPr>
            <w:tcW w:w="1188" w:type="dxa"/>
          </w:tcPr>
          <w:p w:rsidR="002044DC" w:rsidRPr="001423E5" w:rsidRDefault="002044DC" w:rsidP="009E5BA9">
            <w:pPr>
              <w:spacing w:after="0" w:line="240" w:lineRule="auto"/>
              <w:rPr>
                <w:rFonts w:ascii="Times New Roman" w:hAnsi="Times New Roman" w:cs="Times New Roman"/>
                <w:b/>
              </w:rPr>
            </w:pPr>
          </w:p>
          <w:p w:rsidR="002044DC" w:rsidRPr="001423E5" w:rsidRDefault="002044DC" w:rsidP="009E5BA9">
            <w:pPr>
              <w:spacing w:after="0" w:line="240" w:lineRule="auto"/>
              <w:rPr>
                <w:rFonts w:ascii="Times New Roman" w:hAnsi="Times New Roman" w:cs="Times New Roman"/>
                <w:b/>
              </w:rPr>
            </w:pPr>
            <w:r w:rsidRPr="001423E5">
              <w:rPr>
                <w:rFonts w:ascii="Times New Roman" w:hAnsi="Times New Roman" w:cs="Times New Roman"/>
                <w:b/>
              </w:rPr>
              <w:t>Albania</w:t>
            </w:r>
          </w:p>
          <w:p w:rsidR="002044DC" w:rsidRPr="001423E5" w:rsidRDefault="002044DC" w:rsidP="009E5BA9">
            <w:pPr>
              <w:spacing w:after="0" w:line="240" w:lineRule="auto"/>
              <w:rPr>
                <w:rFonts w:ascii="Times New Roman" w:hAnsi="Times New Roman" w:cs="Times New Roman"/>
                <w:b/>
              </w:rPr>
            </w:pPr>
          </w:p>
        </w:tc>
        <w:tc>
          <w:tcPr>
            <w:tcW w:w="8163" w:type="dxa"/>
          </w:tcPr>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r w:rsidRPr="00FF7CB3">
              <w:rPr>
                <w:rFonts w:ascii="Times New Roman" w:hAnsi="Times New Roman" w:cs="Times New Roman"/>
                <w:sz w:val="20"/>
                <w:szCs w:val="20"/>
              </w:rPr>
              <w:t>1991</w:t>
            </w:r>
            <w:r>
              <w:rPr>
                <w:rFonts w:ascii="Times New Roman" w:hAnsi="Times New Roman" w:cs="Times New Roman"/>
                <w:sz w:val="20"/>
                <w:szCs w:val="20"/>
              </w:rPr>
              <w:t xml:space="preserve"> </w:t>
            </w:r>
            <w:r w:rsidRPr="00FF7CB3">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FF7CB3">
              <w:rPr>
                <w:rFonts w:ascii="Times New Roman" w:hAnsi="Times New Roman" w:cs="Times New Roman"/>
                <w:sz w:val="20"/>
                <w:szCs w:val="20"/>
              </w:rPr>
              <w:t>Ruli</w:t>
            </w:r>
            <w:proofErr w:type="spellEnd"/>
            <w:r w:rsidRPr="00FF7CB3">
              <w:rPr>
                <w:rFonts w:ascii="Times New Roman" w:hAnsi="Times New Roman" w:cs="Times New Roman"/>
                <w:sz w:val="20"/>
                <w:szCs w:val="20"/>
              </w:rPr>
              <w:t xml:space="preserve"> Report—first trials of former regime on economic grounds</w:t>
            </w:r>
            <w:r>
              <w:rPr>
                <w:rFonts w:ascii="Times New Roman" w:hAnsi="Times New Roman" w:cs="Times New Roman"/>
                <w:sz w:val="20"/>
                <w:szCs w:val="20"/>
              </w:rPr>
              <w:t xml:space="preserve">. </w:t>
            </w:r>
            <w:r w:rsidRPr="00270FC7">
              <w:rPr>
                <w:rFonts w:ascii="Times New Roman" w:eastAsia="Calibri" w:hAnsi="Times New Roman" w:cs="Times New Roman"/>
                <w:bCs/>
                <w:sz w:val="20"/>
                <w:szCs w:val="20"/>
              </w:rPr>
              <w:t>Law 7</w:t>
            </w:r>
            <w:r>
              <w:rPr>
                <w:rFonts w:ascii="Times New Roman" w:eastAsia="Calibri" w:hAnsi="Times New Roman" w:cs="Times New Roman"/>
                <w:bCs/>
                <w:sz w:val="20"/>
                <w:szCs w:val="20"/>
              </w:rPr>
              <w:t xml:space="preserve">541 of 18 December </w:t>
            </w:r>
            <w:r w:rsidRPr="00FF7CB3">
              <w:rPr>
                <w:rFonts w:ascii="Times New Roman" w:eastAsia="Calibri" w:hAnsi="Times New Roman" w:cs="Times New Roman"/>
                <w:bCs/>
                <w:sz w:val="20"/>
                <w:szCs w:val="20"/>
              </w:rPr>
              <w:t>on Advocacy</w:t>
            </w:r>
            <w:r>
              <w:rPr>
                <w:rFonts w:ascii="Times New Roman" w:eastAsia="Calibri" w:hAnsi="Times New Roman" w:cs="Times New Roman"/>
                <w:bCs/>
                <w:sz w:val="20"/>
                <w:szCs w:val="20"/>
              </w:rPr>
              <w:t xml:space="preserve"> in the Republic of Albania</w:t>
            </w:r>
            <w:r>
              <w:rPr>
                <w:rFonts w:ascii="Times New Roman" w:eastAsia="Calibri" w:hAnsi="Times New Roman" w:cs="Times New Roman"/>
                <w:bCs/>
                <w:i/>
                <w:sz w:val="20"/>
                <w:szCs w:val="20"/>
              </w:rPr>
              <w:t xml:space="preserve"> </w:t>
            </w:r>
            <w:r w:rsidRPr="0047253A">
              <w:rPr>
                <w:rFonts w:ascii="Times New Roman" w:eastAsia="Calibri" w:hAnsi="Times New Roman" w:cs="Times New Roman"/>
                <w:bCs/>
                <w:sz w:val="20"/>
                <w:szCs w:val="20"/>
              </w:rPr>
              <w:t>becomes f</w:t>
            </w:r>
            <w:r w:rsidRPr="0047253A">
              <w:rPr>
                <w:rFonts w:ascii="Times New Roman" w:hAnsi="Times New Roman" w:cs="Times New Roman"/>
                <w:sz w:val="20"/>
                <w:szCs w:val="20"/>
              </w:rPr>
              <w:t>irst</w:t>
            </w:r>
            <w:r w:rsidRPr="00FF7CB3">
              <w:rPr>
                <w:rFonts w:ascii="Times New Roman" w:hAnsi="Times New Roman" w:cs="Times New Roman"/>
                <w:sz w:val="20"/>
                <w:szCs w:val="20"/>
              </w:rPr>
              <w:t xml:space="preserve"> attempt at lustration, with narrow focus on lawyers</w:t>
            </w:r>
            <w:r>
              <w:rPr>
                <w:rFonts w:ascii="Times New Roman" w:hAnsi="Times New Roman" w:cs="Times New Roman"/>
                <w:sz w:val="20"/>
                <w:szCs w:val="20"/>
              </w:rPr>
              <w:t>.</w:t>
            </w: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1992 -- </w:t>
            </w:r>
            <w:r w:rsidRPr="00FF7CB3">
              <w:rPr>
                <w:rFonts w:ascii="Times New Roman" w:hAnsi="Times New Roman" w:cs="Times New Roman"/>
                <w:sz w:val="20"/>
                <w:szCs w:val="20"/>
              </w:rPr>
              <w:t>Purges of political opposition in public sector-</w:t>
            </w:r>
            <w:r>
              <w:rPr>
                <w:rFonts w:ascii="Times New Roman" w:hAnsi="Times New Roman" w:cs="Times New Roman"/>
                <w:sz w:val="20"/>
                <w:szCs w:val="20"/>
              </w:rPr>
              <w:t>-</w:t>
            </w:r>
            <w:r w:rsidRPr="00FF7CB3">
              <w:rPr>
                <w:rFonts w:ascii="Times New Roman" w:hAnsi="Times New Roman" w:cs="Times New Roman"/>
                <w:sz w:val="20"/>
                <w:szCs w:val="20"/>
              </w:rPr>
              <w:t>no file access</w:t>
            </w:r>
            <w:r>
              <w:rPr>
                <w:rFonts w:ascii="Times New Roman" w:hAnsi="Times New Roman" w:cs="Times New Roman"/>
                <w:sz w:val="20"/>
                <w:szCs w:val="20"/>
              </w:rPr>
              <w:t>.</w:t>
            </w: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r w:rsidRPr="00FF7CB3">
              <w:rPr>
                <w:rFonts w:ascii="Times New Roman" w:hAnsi="Times New Roman" w:cs="Times New Roman"/>
                <w:sz w:val="20"/>
                <w:szCs w:val="20"/>
              </w:rPr>
              <w:t>1993</w:t>
            </w:r>
            <w:r>
              <w:rPr>
                <w:rFonts w:ascii="Times New Roman" w:hAnsi="Times New Roman" w:cs="Times New Roman"/>
                <w:sz w:val="20"/>
                <w:szCs w:val="20"/>
              </w:rPr>
              <w:t xml:space="preserve"> –</w:t>
            </w:r>
            <w:r w:rsidRPr="00FF7CB3">
              <w:rPr>
                <w:rFonts w:ascii="Times New Roman" w:hAnsi="Times New Roman" w:cs="Times New Roman"/>
                <w:sz w:val="20"/>
                <w:szCs w:val="20"/>
              </w:rPr>
              <w:t xml:space="preserve"> </w:t>
            </w:r>
            <w:r>
              <w:rPr>
                <w:rFonts w:ascii="Times New Roman" w:hAnsi="Times New Roman" w:cs="Times New Roman"/>
                <w:bCs/>
                <w:sz w:val="20"/>
                <w:szCs w:val="20"/>
              </w:rPr>
              <w:t xml:space="preserve">Law </w:t>
            </w:r>
            <w:r w:rsidRPr="00270FC7">
              <w:rPr>
                <w:rFonts w:ascii="Times New Roman" w:hAnsi="Times New Roman" w:cs="Times New Roman"/>
                <w:bCs/>
                <w:sz w:val="20"/>
                <w:szCs w:val="20"/>
              </w:rPr>
              <w:t xml:space="preserve">7666 </w:t>
            </w:r>
            <w:r>
              <w:rPr>
                <w:rFonts w:ascii="Times New Roman" w:hAnsi="Times New Roman" w:cs="Times New Roman"/>
                <w:bCs/>
                <w:sz w:val="20"/>
                <w:szCs w:val="20"/>
              </w:rPr>
              <w:t xml:space="preserve">of 26 January 1993 </w:t>
            </w:r>
            <w:r w:rsidRPr="00270FC7">
              <w:rPr>
                <w:rFonts w:ascii="Times New Roman" w:hAnsi="Times New Roman" w:cs="Times New Roman"/>
                <w:bCs/>
                <w:sz w:val="20"/>
                <w:szCs w:val="20"/>
              </w:rPr>
              <w:t xml:space="preserve">On the Creation of a Commission to Re-assess Licenses for the Exercise of Advocacy </w:t>
            </w:r>
            <w:r>
              <w:rPr>
                <w:rFonts w:ascii="Times New Roman" w:hAnsi="Times New Roman" w:cs="Times New Roman"/>
                <w:bCs/>
                <w:sz w:val="20"/>
                <w:szCs w:val="20"/>
              </w:rPr>
              <w:t xml:space="preserve">and for an Amendment to Law </w:t>
            </w:r>
            <w:r w:rsidRPr="00270FC7">
              <w:rPr>
                <w:rFonts w:ascii="Times New Roman" w:hAnsi="Times New Roman" w:cs="Times New Roman"/>
                <w:bCs/>
                <w:sz w:val="20"/>
                <w:szCs w:val="20"/>
              </w:rPr>
              <w:t>7541</w:t>
            </w:r>
            <w:r>
              <w:rPr>
                <w:rFonts w:ascii="Times New Roman" w:hAnsi="Times New Roman" w:cs="Times New Roman"/>
                <w:bCs/>
                <w:sz w:val="20"/>
                <w:szCs w:val="20"/>
              </w:rPr>
              <w:t>/1991</w:t>
            </w:r>
            <w:r>
              <w:rPr>
                <w:rFonts w:ascii="Times New Roman" w:hAnsi="Times New Roman" w:cs="Times New Roman"/>
                <w:sz w:val="20"/>
                <w:szCs w:val="20"/>
              </w:rPr>
              <w:t xml:space="preserve"> facilitated the implementation of the 1991 </w:t>
            </w:r>
            <w:r w:rsidRPr="00FF7CB3">
              <w:rPr>
                <w:rFonts w:ascii="Times New Roman" w:eastAsia="Calibri" w:hAnsi="Times New Roman" w:cs="Times New Roman"/>
                <w:bCs/>
                <w:sz w:val="20"/>
                <w:szCs w:val="20"/>
              </w:rPr>
              <w:t>Law</w:t>
            </w:r>
            <w:r w:rsidRPr="00FF7CB3">
              <w:rPr>
                <w:rFonts w:ascii="Times New Roman" w:eastAsia="Calibri" w:hAnsi="Times New Roman" w:cs="Times New Roman"/>
                <w:b/>
                <w:bCs/>
                <w:sz w:val="20"/>
                <w:szCs w:val="20"/>
              </w:rPr>
              <w:t xml:space="preserve"> </w:t>
            </w:r>
            <w:r w:rsidRPr="00FF7CB3">
              <w:rPr>
                <w:rFonts w:ascii="Times New Roman" w:eastAsia="Calibri" w:hAnsi="Times New Roman" w:cs="Times New Roman"/>
                <w:bCs/>
                <w:sz w:val="20"/>
                <w:szCs w:val="20"/>
              </w:rPr>
              <w:t>on Advocacy</w:t>
            </w:r>
            <w:r w:rsidRPr="00FF7CB3">
              <w:rPr>
                <w:rFonts w:ascii="Times New Roman" w:eastAsia="Calibri" w:hAnsi="Times New Roman" w:cs="Times New Roman"/>
                <w:bCs/>
                <w:i/>
                <w:sz w:val="20"/>
                <w:szCs w:val="20"/>
              </w:rPr>
              <w:t>.</w:t>
            </w: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1995 -- Law 8001 of 22 September </w:t>
            </w:r>
            <w:r w:rsidRPr="00FF7CB3">
              <w:rPr>
                <w:rFonts w:ascii="Times New Roman" w:hAnsi="Times New Roman" w:cs="Times New Roman"/>
                <w:sz w:val="20"/>
                <w:szCs w:val="20"/>
              </w:rPr>
              <w:t>On Genocide and Crimes Against Humanity Committed in Albania during the Communist Regime for Political, Id</w:t>
            </w:r>
            <w:r>
              <w:rPr>
                <w:rFonts w:ascii="Times New Roman" w:hAnsi="Times New Roman" w:cs="Times New Roman"/>
                <w:sz w:val="20"/>
                <w:szCs w:val="20"/>
              </w:rPr>
              <w:t>eological and Religious Reasons</w:t>
            </w:r>
            <w:r w:rsidRPr="00FF7CB3">
              <w:rPr>
                <w:rFonts w:ascii="Times New Roman" w:hAnsi="Times New Roman" w:cs="Times New Roman"/>
                <w:sz w:val="20"/>
                <w:szCs w:val="20"/>
              </w:rPr>
              <w:t xml:space="preserve"> (The Genocide Law). No real implementation of </w:t>
            </w:r>
            <w:r>
              <w:rPr>
                <w:rFonts w:ascii="Times New Roman" w:hAnsi="Times New Roman" w:cs="Times New Roman"/>
                <w:sz w:val="20"/>
                <w:szCs w:val="20"/>
              </w:rPr>
              <w:t>this</w:t>
            </w:r>
            <w:r w:rsidRPr="00FF7CB3">
              <w:rPr>
                <w:rFonts w:ascii="Times New Roman" w:hAnsi="Times New Roman" w:cs="Times New Roman"/>
                <w:sz w:val="20"/>
                <w:szCs w:val="20"/>
              </w:rPr>
              <w:t xml:space="preserve"> </w:t>
            </w:r>
            <w:r>
              <w:rPr>
                <w:rFonts w:ascii="Times New Roman" w:hAnsi="Times New Roman" w:cs="Times New Roman"/>
                <w:sz w:val="20"/>
                <w:szCs w:val="20"/>
              </w:rPr>
              <w:t>lustration measure.</w:t>
            </w:r>
          </w:p>
          <w:p w:rsidR="002044DC" w:rsidRPr="00FF7CB3" w:rsidRDefault="002044DC" w:rsidP="009E5BA9">
            <w:pPr>
              <w:spacing w:after="0" w:line="240" w:lineRule="auto"/>
              <w:rPr>
                <w:rFonts w:ascii="Times New Roman" w:hAnsi="Times New Roman" w:cs="Times New Roman"/>
                <w:sz w:val="20"/>
                <w:szCs w:val="20"/>
              </w:rPr>
            </w:pPr>
          </w:p>
          <w:p w:rsidR="002044DC" w:rsidRPr="00FF7CB3" w:rsidRDefault="002044DC" w:rsidP="009E5BA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1995 -- Law </w:t>
            </w:r>
            <w:r w:rsidRPr="00FF7CB3">
              <w:rPr>
                <w:rFonts w:ascii="Times New Roman" w:hAnsi="Times New Roman" w:cs="Times New Roman"/>
                <w:sz w:val="20"/>
                <w:szCs w:val="20"/>
              </w:rPr>
              <w:t>8043</w:t>
            </w:r>
            <w:r>
              <w:rPr>
                <w:rFonts w:ascii="Times New Roman" w:hAnsi="Times New Roman" w:cs="Times New Roman"/>
                <w:sz w:val="20"/>
                <w:szCs w:val="20"/>
              </w:rPr>
              <w:t xml:space="preserve"> of 30 November </w:t>
            </w:r>
            <w:r w:rsidRPr="00FF7CB3">
              <w:rPr>
                <w:rFonts w:ascii="Times New Roman" w:hAnsi="Times New Roman" w:cs="Times New Roman"/>
                <w:sz w:val="20"/>
                <w:szCs w:val="20"/>
              </w:rPr>
              <w:t>On the Control of the Moral Figure of Officials and Other Persons Connected with the Pro</w:t>
            </w:r>
            <w:r>
              <w:rPr>
                <w:rFonts w:ascii="Times New Roman" w:hAnsi="Times New Roman" w:cs="Times New Roman"/>
                <w:sz w:val="20"/>
                <w:szCs w:val="20"/>
              </w:rPr>
              <w:t xml:space="preserve">tection of the Democratic State (The Verification Law). </w:t>
            </w:r>
            <w:r w:rsidRPr="00FF7CB3">
              <w:rPr>
                <w:rFonts w:ascii="Times New Roman" w:hAnsi="Times New Roman" w:cs="Times New Roman"/>
                <w:sz w:val="20"/>
                <w:szCs w:val="20"/>
              </w:rPr>
              <w:t xml:space="preserve">No real implementation of </w:t>
            </w:r>
            <w:r>
              <w:rPr>
                <w:rFonts w:ascii="Times New Roman" w:hAnsi="Times New Roman" w:cs="Times New Roman"/>
                <w:sz w:val="20"/>
                <w:szCs w:val="20"/>
              </w:rPr>
              <w:t>this</w:t>
            </w:r>
            <w:r w:rsidRPr="00FF7CB3">
              <w:rPr>
                <w:rFonts w:ascii="Times New Roman" w:hAnsi="Times New Roman" w:cs="Times New Roman"/>
                <w:sz w:val="20"/>
                <w:szCs w:val="20"/>
              </w:rPr>
              <w:t xml:space="preserve"> </w:t>
            </w:r>
            <w:r>
              <w:rPr>
                <w:rFonts w:ascii="Times New Roman" w:hAnsi="Times New Roman" w:cs="Times New Roman"/>
                <w:sz w:val="20"/>
                <w:szCs w:val="20"/>
              </w:rPr>
              <w:t>lustration measure.</w:t>
            </w:r>
          </w:p>
          <w:p w:rsidR="002044DC" w:rsidRPr="00FF7CB3" w:rsidRDefault="002044DC" w:rsidP="009E5BA9">
            <w:pPr>
              <w:spacing w:after="0" w:line="240" w:lineRule="auto"/>
              <w:rPr>
                <w:rFonts w:ascii="Times New Roman" w:hAnsi="Times New Roman" w:cs="Times New Roman"/>
                <w:sz w:val="20"/>
                <w:szCs w:val="20"/>
              </w:rPr>
            </w:pPr>
          </w:p>
          <w:p w:rsidR="002044DC" w:rsidRPr="00FF7CB3" w:rsidRDefault="002044DC" w:rsidP="009E5BA9">
            <w:pPr>
              <w:spacing w:after="0" w:line="240" w:lineRule="auto"/>
              <w:rPr>
                <w:rFonts w:ascii="Times New Roman" w:hAnsi="Times New Roman" w:cs="Times New Roman"/>
                <w:sz w:val="20"/>
                <w:szCs w:val="20"/>
              </w:rPr>
            </w:pPr>
            <w:r w:rsidRPr="00FF7CB3">
              <w:rPr>
                <w:rFonts w:ascii="Times New Roman" w:hAnsi="Times New Roman" w:cs="Times New Roman"/>
                <w:sz w:val="20"/>
                <w:szCs w:val="20"/>
              </w:rPr>
              <w:t>1997</w:t>
            </w:r>
            <w:r>
              <w:rPr>
                <w:rFonts w:ascii="Times New Roman" w:hAnsi="Times New Roman" w:cs="Times New Roman"/>
                <w:sz w:val="20"/>
                <w:szCs w:val="20"/>
              </w:rPr>
              <w:t xml:space="preserve"> </w:t>
            </w:r>
            <w:r w:rsidRPr="00FF7CB3">
              <w:rPr>
                <w:rFonts w:ascii="Times New Roman" w:hAnsi="Times New Roman" w:cs="Times New Roman"/>
                <w:sz w:val="20"/>
                <w:szCs w:val="20"/>
              </w:rPr>
              <w:t>--</w:t>
            </w:r>
            <w:r>
              <w:rPr>
                <w:rFonts w:ascii="Times New Roman" w:hAnsi="Times New Roman" w:cs="Times New Roman"/>
                <w:sz w:val="20"/>
                <w:szCs w:val="20"/>
              </w:rPr>
              <w:t xml:space="preserve"> </w:t>
            </w:r>
            <w:r w:rsidRPr="00FF7CB3">
              <w:rPr>
                <w:rFonts w:ascii="Times New Roman" w:hAnsi="Times New Roman" w:cs="Times New Roman"/>
                <w:sz w:val="20"/>
                <w:szCs w:val="20"/>
              </w:rPr>
              <w:t>Government reduces scope of Verification Law and</w:t>
            </w:r>
            <w:r>
              <w:rPr>
                <w:rFonts w:ascii="Times New Roman" w:hAnsi="Times New Roman" w:cs="Times New Roman"/>
                <w:sz w:val="20"/>
                <w:szCs w:val="20"/>
              </w:rPr>
              <w:t xml:space="preserve"> both</w:t>
            </w:r>
            <w:r w:rsidRPr="00FF7CB3">
              <w:rPr>
                <w:rFonts w:ascii="Times New Roman" w:hAnsi="Times New Roman" w:cs="Times New Roman"/>
                <w:sz w:val="20"/>
                <w:szCs w:val="20"/>
              </w:rPr>
              <w:t xml:space="preserve"> </w:t>
            </w:r>
            <w:r>
              <w:rPr>
                <w:rFonts w:ascii="Times New Roman" w:hAnsi="Times New Roman" w:cs="Times New Roman"/>
                <w:sz w:val="20"/>
                <w:szCs w:val="20"/>
              </w:rPr>
              <w:t>the Genocide and the Verification L</w:t>
            </w:r>
            <w:r w:rsidRPr="00FF7CB3">
              <w:rPr>
                <w:rFonts w:ascii="Times New Roman" w:hAnsi="Times New Roman" w:cs="Times New Roman"/>
                <w:sz w:val="20"/>
                <w:szCs w:val="20"/>
              </w:rPr>
              <w:t>aws expire without implementation in 2001.</w:t>
            </w:r>
          </w:p>
          <w:p w:rsidR="002044DC" w:rsidRPr="00FF7CB3" w:rsidRDefault="002044DC" w:rsidP="009E5BA9">
            <w:pPr>
              <w:spacing w:after="0" w:line="240" w:lineRule="auto"/>
              <w:ind w:left="720"/>
              <w:rPr>
                <w:rFonts w:ascii="Times New Roman" w:hAnsi="Times New Roman" w:cs="Times New Roman"/>
                <w:sz w:val="20"/>
                <w:szCs w:val="20"/>
              </w:rPr>
            </w:pPr>
          </w:p>
          <w:p w:rsidR="002044DC" w:rsidRPr="00FF7CB3" w:rsidRDefault="002044DC" w:rsidP="009E5BA9">
            <w:pPr>
              <w:spacing w:after="0" w:line="240" w:lineRule="auto"/>
              <w:rPr>
                <w:rFonts w:ascii="Times New Roman" w:hAnsi="Times New Roman" w:cs="Times New Roman"/>
                <w:sz w:val="20"/>
                <w:szCs w:val="20"/>
              </w:rPr>
            </w:pPr>
            <w:r w:rsidRPr="00FF7CB3">
              <w:rPr>
                <w:rFonts w:ascii="Times New Roman" w:hAnsi="Times New Roman" w:cs="Times New Roman"/>
                <w:sz w:val="20"/>
                <w:szCs w:val="20"/>
              </w:rPr>
              <w:t>2008</w:t>
            </w:r>
            <w:r>
              <w:rPr>
                <w:rFonts w:ascii="Times New Roman" w:hAnsi="Times New Roman" w:cs="Times New Roman"/>
                <w:sz w:val="20"/>
                <w:szCs w:val="20"/>
              </w:rPr>
              <w:t xml:space="preserve"> -- Law 10034 of 22 December </w:t>
            </w:r>
            <w:r w:rsidRPr="00FF7CB3">
              <w:rPr>
                <w:rFonts w:ascii="Times New Roman" w:hAnsi="Times New Roman" w:cs="Times New Roman"/>
                <w:sz w:val="20"/>
                <w:szCs w:val="20"/>
              </w:rPr>
              <w:t>On the cleanliness of the figure of Hugh Functionaries of the Public Adm</w:t>
            </w:r>
            <w:r>
              <w:rPr>
                <w:rFonts w:ascii="Times New Roman" w:hAnsi="Times New Roman" w:cs="Times New Roman"/>
                <w:sz w:val="20"/>
                <w:szCs w:val="20"/>
              </w:rPr>
              <w:t xml:space="preserve">inistration and Elected Persons </w:t>
            </w:r>
            <w:r w:rsidRPr="00FF7CB3">
              <w:rPr>
                <w:rFonts w:ascii="Times New Roman" w:hAnsi="Times New Roman" w:cs="Times New Roman"/>
                <w:sz w:val="20"/>
                <w:szCs w:val="20"/>
              </w:rPr>
              <w:t>(Clean Hands Bill)</w:t>
            </w:r>
          </w:p>
          <w:p w:rsidR="002044DC" w:rsidRPr="00FF7CB3" w:rsidRDefault="002044DC" w:rsidP="009E5BA9">
            <w:pPr>
              <w:spacing w:after="0" w:line="240" w:lineRule="auto"/>
              <w:ind w:left="720"/>
              <w:rPr>
                <w:rFonts w:ascii="Times New Roman" w:hAnsi="Times New Roman" w:cs="Times New Roman"/>
                <w:color w:val="112233"/>
                <w:sz w:val="20"/>
                <w:szCs w:val="20"/>
              </w:rPr>
            </w:pPr>
          </w:p>
          <w:p w:rsidR="002044DC" w:rsidRPr="00993623" w:rsidRDefault="002044DC" w:rsidP="009E5BA9">
            <w:pPr>
              <w:spacing w:after="0" w:line="240" w:lineRule="auto"/>
              <w:rPr>
                <w:rFonts w:ascii="Times New Roman" w:hAnsi="Times New Roman" w:cs="Times New Roman"/>
                <w:color w:val="112233"/>
                <w:sz w:val="20"/>
                <w:szCs w:val="20"/>
              </w:rPr>
            </w:pPr>
            <w:r w:rsidRPr="00FF7CB3">
              <w:rPr>
                <w:rFonts w:ascii="Times New Roman" w:hAnsi="Times New Roman" w:cs="Times New Roman"/>
                <w:sz w:val="20"/>
                <w:szCs w:val="20"/>
              </w:rPr>
              <w:t>2009</w:t>
            </w:r>
            <w:r>
              <w:rPr>
                <w:rFonts w:ascii="Times New Roman" w:hAnsi="Times New Roman" w:cs="Times New Roman"/>
                <w:sz w:val="20"/>
                <w:szCs w:val="20"/>
              </w:rPr>
              <w:t xml:space="preserve"> -- Clean Hands bill d</w:t>
            </w:r>
            <w:r w:rsidRPr="00FF7CB3">
              <w:rPr>
                <w:rFonts w:ascii="Times New Roman" w:hAnsi="Times New Roman" w:cs="Times New Roman"/>
                <w:sz w:val="20"/>
                <w:szCs w:val="20"/>
              </w:rPr>
              <w:t xml:space="preserve">eclared unconstitutional and not implemented. </w:t>
            </w:r>
          </w:p>
        </w:tc>
      </w:tr>
      <w:tr w:rsidR="002044DC" w:rsidRPr="001423E5" w:rsidTr="009E5BA9">
        <w:tc>
          <w:tcPr>
            <w:tcW w:w="1188" w:type="dxa"/>
          </w:tcPr>
          <w:p w:rsidR="002044DC" w:rsidRPr="001423E5" w:rsidRDefault="002044DC" w:rsidP="009E5BA9">
            <w:pPr>
              <w:spacing w:after="0" w:line="240" w:lineRule="auto"/>
              <w:rPr>
                <w:rFonts w:ascii="Times New Roman" w:hAnsi="Times New Roman" w:cs="Times New Roman"/>
                <w:b/>
              </w:rPr>
            </w:pPr>
          </w:p>
          <w:p w:rsidR="002044DC" w:rsidRPr="001423E5" w:rsidRDefault="002044DC" w:rsidP="009E5BA9">
            <w:pPr>
              <w:spacing w:after="0" w:line="240" w:lineRule="auto"/>
              <w:rPr>
                <w:rFonts w:ascii="Times New Roman" w:hAnsi="Times New Roman" w:cs="Times New Roman"/>
                <w:b/>
              </w:rPr>
            </w:pPr>
            <w:r w:rsidRPr="001423E5">
              <w:rPr>
                <w:rFonts w:ascii="Times New Roman" w:hAnsi="Times New Roman" w:cs="Times New Roman"/>
                <w:b/>
              </w:rPr>
              <w:t>Bulgaria</w:t>
            </w:r>
          </w:p>
        </w:tc>
        <w:tc>
          <w:tcPr>
            <w:tcW w:w="8163" w:type="dxa"/>
          </w:tcPr>
          <w:p w:rsidR="002044DC" w:rsidRDefault="002044DC" w:rsidP="009E5BA9">
            <w:pPr>
              <w:pStyle w:val="EndnoteText"/>
            </w:pPr>
          </w:p>
          <w:p w:rsidR="002044DC" w:rsidRPr="00FF7CB3" w:rsidRDefault="002044DC" w:rsidP="009E5BA9">
            <w:pPr>
              <w:pStyle w:val="EndnoteText"/>
            </w:pPr>
            <w:r>
              <w:t xml:space="preserve">1990 -- </w:t>
            </w:r>
            <w:r w:rsidRPr="00FF7CB3">
              <w:t>Publication of unconfirmed list of collaborators</w:t>
            </w:r>
            <w:r>
              <w:t>.</w:t>
            </w:r>
          </w:p>
          <w:p w:rsidR="002044DC" w:rsidRPr="00FF7CB3" w:rsidRDefault="002044DC" w:rsidP="009E5BA9">
            <w:pPr>
              <w:pStyle w:val="EndnoteText"/>
            </w:pPr>
          </w:p>
          <w:p w:rsidR="002044DC" w:rsidRPr="00FF7CB3" w:rsidRDefault="002044DC" w:rsidP="009E5BA9">
            <w:pPr>
              <w:pStyle w:val="EndnoteText"/>
            </w:pPr>
            <w:r w:rsidRPr="00FF7CB3">
              <w:t>1992</w:t>
            </w:r>
            <w:r>
              <w:t xml:space="preserve"> </w:t>
            </w:r>
            <w:r w:rsidRPr="00FF7CB3">
              <w:t>--</w:t>
            </w:r>
            <w:r>
              <w:t xml:space="preserve"> </w:t>
            </w:r>
            <w:r w:rsidRPr="00FF7CB3">
              <w:t xml:space="preserve">Law </w:t>
            </w:r>
            <w:r>
              <w:t xml:space="preserve">25 of 18 March </w:t>
            </w:r>
            <w:r w:rsidRPr="00FF7CB3">
              <w:t>on B</w:t>
            </w:r>
            <w:r>
              <w:t xml:space="preserve">anks and Credit Activity, </w:t>
            </w:r>
            <w:r w:rsidRPr="00FF7CB3">
              <w:t>passed as lustration of banking sector, but declared unconstitutional.</w:t>
            </w:r>
          </w:p>
          <w:p w:rsidR="002044DC" w:rsidRPr="00FF7CB3" w:rsidRDefault="002044DC" w:rsidP="009E5BA9">
            <w:pPr>
              <w:pStyle w:val="EndnoteText"/>
            </w:pPr>
          </w:p>
          <w:p w:rsidR="002044DC" w:rsidRPr="00FF7CB3" w:rsidRDefault="002044DC" w:rsidP="009E5BA9">
            <w:pPr>
              <w:pStyle w:val="EndnoteText"/>
            </w:pPr>
            <w:r>
              <w:t xml:space="preserve">1992 -- </w:t>
            </w:r>
            <w:r w:rsidRPr="00FF7CB3">
              <w:t xml:space="preserve">Law </w:t>
            </w:r>
            <w:r>
              <w:t xml:space="preserve">of 9 December </w:t>
            </w:r>
            <w:r w:rsidRPr="00FF7CB3">
              <w:t>for Temporary Introduction of Some Additional Requirements for the Members of the Executive Bodies of Scientific Organizations and t</w:t>
            </w:r>
            <w:r>
              <w:t>he Higher Certifying Commission (</w:t>
            </w:r>
            <w:proofErr w:type="spellStart"/>
            <w:r>
              <w:t>Panev</w:t>
            </w:r>
            <w:proofErr w:type="spellEnd"/>
            <w:r>
              <w:t xml:space="preserve"> Law) </w:t>
            </w:r>
            <w:r w:rsidRPr="00FF7CB3">
              <w:t>—</w:t>
            </w:r>
            <w:r>
              <w:t xml:space="preserve"> </w:t>
            </w:r>
            <w:r w:rsidRPr="00FF7CB3">
              <w:t>narrow focus of lustration on science and academics.</w:t>
            </w:r>
          </w:p>
          <w:p w:rsidR="002044DC" w:rsidRPr="00FF7CB3" w:rsidRDefault="002044DC" w:rsidP="009E5BA9">
            <w:pPr>
              <w:pStyle w:val="EndnoteText"/>
            </w:pPr>
          </w:p>
          <w:p w:rsidR="002044DC" w:rsidRPr="00FF7CB3" w:rsidRDefault="002044DC" w:rsidP="009E5BA9">
            <w:pPr>
              <w:pStyle w:val="EndnoteText"/>
            </w:pPr>
            <w:r>
              <w:t xml:space="preserve">1993-4 -- </w:t>
            </w:r>
            <w:r w:rsidRPr="00FF7CB3">
              <w:t>several trials of former leadership, limited scope</w:t>
            </w:r>
            <w:r>
              <w:t>.</w:t>
            </w:r>
          </w:p>
          <w:p w:rsidR="002044DC" w:rsidRPr="00FF7CB3" w:rsidRDefault="002044DC" w:rsidP="009E5BA9">
            <w:pPr>
              <w:pStyle w:val="EndnoteText"/>
            </w:pPr>
          </w:p>
          <w:p w:rsidR="002044DC" w:rsidRPr="00FF7CB3" w:rsidRDefault="002044DC" w:rsidP="009E5BA9">
            <w:pPr>
              <w:pStyle w:val="EndnoteText"/>
            </w:pPr>
            <w:r w:rsidRPr="00FF7CB3">
              <w:t>1997</w:t>
            </w:r>
            <w:r>
              <w:t xml:space="preserve"> </w:t>
            </w:r>
            <w:r w:rsidRPr="00FF7CB3">
              <w:t>--</w:t>
            </w:r>
            <w:r>
              <w:t xml:space="preserve"> </w:t>
            </w:r>
            <w:r w:rsidRPr="00FF7CB3">
              <w:t xml:space="preserve">Access to the Former State Security Files Act </w:t>
            </w:r>
            <w:r>
              <w:t xml:space="preserve">of 30 </w:t>
            </w:r>
            <w:r w:rsidRPr="00FF7CB3">
              <w:t>July</w:t>
            </w:r>
            <w:r w:rsidRPr="00FF7CB3">
              <w:rPr>
                <w:color w:val="000000"/>
              </w:rPr>
              <w:t xml:space="preserve">, and creation of </w:t>
            </w:r>
            <w:r w:rsidRPr="00FF7CB3">
              <w:t>Committee for Access to the Former State Se</w:t>
            </w:r>
            <w:r>
              <w:t>curity Files (</w:t>
            </w:r>
            <w:proofErr w:type="spellStart"/>
            <w:r>
              <w:t>Bonev</w:t>
            </w:r>
            <w:proofErr w:type="spellEnd"/>
            <w:r>
              <w:t xml:space="preserve"> Committee). Limited effect: </w:t>
            </w:r>
            <w:r w:rsidRPr="00FF7CB3">
              <w:t>23 public disclosures of collaboration</w:t>
            </w:r>
            <w:r>
              <w:t>.</w:t>
            </w:r>
          </w:p>
          <w:p w:rsidR="002044DC" w:rsidRPr="00FF7CB3" w:rsidRDefault="002044DC" w:rsidP="009E5BA9">
            <w:pPr>
              <w:pStyle w:val="EndnoteText"/>
            </w:pPr>
          </w:p>
          <w:p w:rsidR="002044DC" w:rsidRPr="00FF7CB3" w:rsidRDefault="002044DC" w:rsidP="009E5BA9">
            <w:pPr>
              <w:pStyle w:val="EndnoteText"/>
            </w:pPr>
            <w:r w:rsidRPr="00FF7CB3">
              <w:t>1998</w:t>
            </w:r>
            <w:r>
              <w:t xml:space="preserve"> </w:t>
            </w:r>
            <w:r w:rsidRPr="00FF7CB3">
              <w:t>--</w:t>
            </w:r>
            <w:r>
              <w:t xml:space="preserve"> </w:t>
            </w:r>
            <w:r w:rsidRPr="00FF7CB3">
              <w:t xml:space="preserve">Law </w:t>
            </w:r>
            <w:r>
              <w:t>on Public Radio and Television.</w:t>
            </w:r>
          </w:p>
          <w:p w:rsidR="002044DC" w:rsidRPr="00FF7CB3" w:rsidRDefault="002044DC" w:rsidP="009E5BA9">
            <w:pPr>
              <w:pStyle w:val="EndnoteText"/>
            </w:pPr>
          </w:p>
          <w:p w:rsidR="002044DC" w:rsidRPr="00FF7CB3" w:rsidRDefault="002044DC" w:rsidP="009E5BA9">
            <w:pPr>
              <w:pStyle w:val="EndnoteText"/>
            </w:pPr>
            <w:r>
              <w:t xml:space="preserve">1999 -- </w:t>
            </w:r>
            <w:r w:rsidRPr="00FF7CB3">
              <w:t>Constitutional Court limits publication of informers</w:t>
            </w:r>
            <w:r>
              <w:t>.</w:t>
            </w:r>
          </w:p>
          <w:p w:rsidR="002044DC" w:rsidRPr="00FF7CB3" w:rsidRDefault="002044DC" w:rsidP="009E5BA9">
            <w:pPr>
              <w:pStyle w:val="EndnoteText"/>
              <w:rPr>
                <w:color w:val="000000"/>
                <w:shd w:val="clear" w:color="auto" w:fill="FFFFFF"/>
              </w:rPr>
            </w:pPr>
          </w:p>
          <w:p w:rsidR="002044DC" w:rsidRPr="00FF7CB3" w:rsidRDefault="002044DC" w:rsidP="009E5BA9">
            <w:pPr>
              <w:pStyle w:val="EndnoteText"/>
            </w:pPr>
            <w:r>
              <w:rPr>
                <w:color w:val="000000"/>
                <w:shd w:val="clear" w:color="auto" w:fill="FFFFFF"/>
              </w:rPr>
              <w:t>2001-</w:t>
            </w:r>
            <w:r w:rsidRPr="00FF7CB3">
              <w:rPr>
                <w:color w:val="000000"/>
                <w:shd w:val="clear" w:color="auto" w:fill="FFFFFF"/>
              </w:rPr>
              <w:t>2</w:t>
            </w:r>
            <w:r>
              <w:rPr>
                <w:color w:val="000000"/>
                <w:shd w:val="clear" w:color="auto" w:fill="FFFFFF"/>
              </w:rPr>
              <w:t xml:space="preserve"> </w:t>
            </w:r>
            <w:r w:rsidRPr="00FF7CB3">
              <w:rPr>
                <w:color w:val="000000"/>
                <w:shd w:val="clear" w:color="auto" w:fill="FFFFFF"/>
              </w:rPr>
              <w:t>--</w:t>
            </w:r>
            <w:r>
              <w:rPr>
                <w:color w:val="000000"/>
                <w:shd w:val="clear" w:color="auto" w:fill="FFFFFF"/>
              </w:rPr>
              <w:t xml:space="preserve"> </w:t>
            </w:r>
            <w:r w:rsidRPr="00FF7CB3">
              <w:rPr>
                <w:color w:val="000000"/>
                <w:shd w:val="clear" w:color="auto" w:fill="FFFFFF"/>
              </w:rPr>
              <w:t xml:space="preserve">Access to the Former State Security </w:t>
            </w:r>
            <w:r w:rsidRPr="00FF7CB3">
              <w:rPr>
                <w:shd w:val="clear" w:color="auto" w:fill="FFFFFF"/>
              </w:rPr>
              <w:t>and the General Staff Intelligence Directorate F</w:t>
            </w:r>
            <w:r>
              <w:rPr>
                <w:color w:val="000000"/>
                <w:shd w:val="clear" w:color="auto" w:fill="FFFFFF"/>
              </w:rPr>
              <w:t xml:space="preserve">iles Act of 28 </w:t>
            </w:r>
            <w:r w:rsidRPr="00FF7CB3">
              <w:rPr>
                <w:color w:val="000000"/>
                <w:shd w:val="clear" w:color="auto" w:fill="FFFFFF"/>
              </w:rPr>
              <w:t xml:space="preserve">February </w:t>
            </w:r>
            <w:r>
              <w:rPr>
                <w:color w:val="000000"/>
                <w:shd w:val="clear" w:color="auto" w:fill="FFFFFF"/>
              </w:rPr>
              <w:t xml:space="preserve">2001; </w:t>
            </w:r>
            <w:r w:rsidRPr="00FF7CB3">
              <w:rPr>
                <w:color w:val="000000"/>
                <w:shd w:val="clear" w:color="auto" w:fill="FFFFFF"/>
              </w:rPr>
              <w:t xml:space="preserve">and creation of </w:t>
            </w:r>
            <w:r w:rsidRPr="00FF7CB3">
              <w:t>Commission Determining Connections to the Former State</w:t>
            </w:r>
            <w:r>
              <w:t xml:space="preserve"> Security (Andreev Committee). </w:t>
            </w:r>
            <w:r w:rsidRPr="00FF7CB3">
              <w:t>7000 individuals investigated, 517 collaborators disclosed</w:t>
            </w:r>
            <w:r>
              <w:t>.</w:t>
            </w:r>
          </w:p>
          <w:p w:rsidR="002044DC" w:rsidRPr="00FF7CB3" w:rsidRDefault="002044DC" w:rsidP="009E5BA9">
            <w:pPr>
              <w:pStyle w:val="EndnoteText"/>
            </w:pPr>
          </w:p>
          <w:p w:rsidR="002044DC" w:rsidRPr="00FF7CB3" w:rsidRDefault="002044DC" w:rsidP="009E5BA9">
            <w:pPr>
              <w:pStyle w:val="EndnoteText"/>
            </w:pPr>
            <w:r>
              <w:t xml:space="preserve">2002 -- </w:t>
            </w:r>
            <w:r w:rsidRPr="00FF7CB3">
              <w:t>Classified Information Protection Act repeals access to files</w:t>
            </w:r>
            <w:r>
              <w:t>.</w:t>
            </w:r>
          </w:p>
          <w:p w:rsidR="002044DC" w:rsidRPr="00FF7CB3" w:rsidRDefault="002044DC" w:rsidP="009E5BA9">
            <w:pPr>
              <w:pStyle w:val="EndnoteText"/>
            </w:pPr>
          </w:p>
          <w:p w:rsidR="002044DC" w:rsidRPr="00FF7CB3" w:rsidRDefault="002044DC" w:rsidP="009E5BA9">
            <w:pPr>
              <w:pStyle w:val="EndnoteText"/>
            </w:pPr>
            <w:r>
              <w:t xml:space="preserve">2006 -- </w:t>
            </w:r>
            <w:r w:rsidRPr="00FF7CB3">
              <w:t>Declassification of secret police archives</w:t>
            </w:r>
            <w:r>
              <w:t>.</w:t>
            </w:r>
          </w:p>
          <w:p w:rsidR="002044DC" w:rsidRPr="00FF7CB3" w:rsidRDefault="002044DC" w:rsidP="009E5BA9">
            <w:pPr>
              <w:pStyle w:val="EndnoteText"/>
            </w:pPr>
          </w:p>
          <w:p w:rsidR="002044DC" w:rsidRPr="00FF7CB3" w:rsidRDefault="002044DC" w:rsidP="009E5BA9">
            <w:pPr>
              <w:pStyle w:val="EndnoteText"/>
            </w:pPr>
            <w:r w:rsidRPr="00FF7CB3">
              <w:t>2006</w:t>
            </w:r>
            <w:r>
              <w:t xml:space="preserve"> </w:t>
            </w:r>
            <w:r w:rsidRPr="00FF7CB3">
              <w:t>--</w:t>
            </w:r>
            <w:r>
              <w:t xml:space="preserve"> </w:t>
            </w:r>
            <w:r w:rsidRPr="00FF7CB3">
              <w:t xml:space="preserve">Law for Access and Disclosure of the Documents and Announcing Affiliations of Bulgarian Citizens to the State Security and the Intelligence Services of the Bulgarian National Army, </w:t>
            </w:r>
            <w:r>
              <w:t>December.</w:t>
            </w:r>
          </w:p>
          <w:p w:rsidR="002044DC" w:rsidRPr="00FF7CB3" w:rsidRDefault="002044DC" w:rsidP="009E5BA9">
            <w:pPr>
              <w:pStyle w:val="EndnoteText"/>
            </w:pPr>
          </w:p>
          <w:p w:rsidR="002044DC" w:rsidRPr="00FF7CB3" w:rsidRDefault="002044DC" w:rsidP="009E5BA9">
            <w:pPr>
              <w:pStyle w:val="EndnoteText"/>
            </w:pPr>
            <w:r w:rsidRPr="00FF7CB3">
              <w:rPr>
                <w:rFonts w:eastAsia="MS Mincho"/>
                <w:color w:val="000000"/>
                <w:shd w:val="clear" w:color="auto" w:fill="FFFFFF"/>
              </w:rPr>
              <w:t>2007</w:t>
            </w:r>
            <w:r>
              <w:rPr>
                <w:rFonts w:eastAsia="MS Mincho"/>
                <w:color w:val="000000"/>
                <w:shd w:val="clear" w:color="auto" w:fill="FFFFFF"/>
              </w:rPr>
              <w:t xml:space="preserve"> </w:t>
            </w:r>
            <w:r w:rsidRPr="00FF7CB3">
              <w:rPr>
                <w:rFonts w:eastAsia="MS Mincho"/>
                <w:color w:val="000000"/>
                <w:shd w:val="clear" w:color="auto" w:fill="FFFFFF"/>
              </w:rPr>
              <w:t>--</w:t>
            </w:r>
            <w:r>
              <w:rPr>
                <w:rFonts w:eastAsia="MS Mincho"/>
                <w:color w:val="000000"/>
                <w:shd w:val="clear" w:color="auto" w:fill="FFFFFF"/>
              </w:rPr>
              <w:t xml:space="preserve"> </w:t>
            </w:r>
            <w:r w:rsidRPr="00FF7CB3">
              <w:rPr>
                <w:rFonts w:eastAsia="MS Mincho"/>
                <w:color w:val="000000"/>
                <w:shd w:val="clear" w:color="auto" w:fill="FFFFFF"/>
              </w:rPr>
              <w:t>Committee for Disclosing the Documents and Announcing Affiliation of Bulgarian Citizens to the State Security and the Intelligence Services of the Bulgarian National Army (</w:t>
            </w:r>
            <w:proofErr w:type="spellStart"/>
            <w:r w:rsidRPr="00FF7CB3">
              <w:rPr>
                <w:rFonts w:eastAsia="MS Mincho"/>
                <w:color w:val="000000"/>
                <w:shd w:val="clear" w:color="auto" w:fill="FFFFFF"/>
              </w:rPr>
              <w:t>Kostadinov</w:t>
            </w:r>
            <w:proofErr w:type="spellEnd"/>
            <w:r w:rsidRPr="00FF7CB3">
              <w:rPr>
                <w:rFonts w:eastAsia="MS Mincho"/>
                <w:color w:val="000000"/>
                <w:shd w:val="clear" w:color="auto" w:fill="FFFFFF"/>
              </w:rPr>
              <w:t xml:space="preserve"> Commi</w:t>
            </w:r>
            <w:r>
              <w:rPr>
                <w:rFonts w:eastAsia="MS Mincho"/>
                <w:color w:val="000000"/>
                <w:shd w:val="clear" w:color="auto" w:fill="FFFFFF"/>
              </w:rPr>
              <w:t>ttee)—to implement the new law,</w:t>
            </w:r>
            <w:r w:rsidRPr="00FF7CB3">
              <w:rPr>
                <w:rFonts w:eastAsia="MS Mincho"/>
                <w:color w:val="000000"/>
                <w:shd w:val="clear" w:color="auto" w:fill="FFFFFF"/>
              </w:rPr>
              <w:t xml:space="preserve"> April 2007.</w:t>
            </w:r>
          </w:p>
          <w:p w:rsidR="002044DC" w:rsidRPr="00FF7CB3" w:rsidRDefault="002044DC" w:rsidP="009E5BA9">
            <w:pPr>
              <w:pStyle w:val="EndnoteText"/>
            </w:pPr>
          </w:p>
          <w:p w:rsidR="002044DC" w:rsidRPr="00FF7CB3" w:rsidRDefault="002044DC" w:rsidP="009E5BA9">
            <w:pPr>
              <w:pStyle w:val="EndnoteText"/>
            </w:pPr>
            <w:r>
              <w:t>2007-present --</w:t>
            </w:r>
            <w:r w:rsidRPr="00FF7CB3">
              <w:t xml:space="preserve"> Dossier Commission engages in file review </w:t>
            </w:r>
            <w:r>
              <w:t>and public disclosures. During 2011-4</w:t>
            </w:r>
            <w:r w:rsidRPr="00FF7CB3">
              <w:t xml:space="preserve"> extensive public revelations of collaboration of academics, media, clergy, Foreign Service, cabinet positions, and “credit millionaires” with secret police backgrounds</w:t>
            </w:r>
            <w:r>
              <w:t>.</w:t>
            </w:r>
          </w:p>
        </w:tc>
      </w:tr>
      <w:tr w:rsidR="002044DC" w:rsidRPr="001423E5" w:rsidTr="009E5BA9">
        <w:tc>
          <w:tcPr>
            <w:tcW w:w="1188" w:type="dxa"/>
            <w:tcBorders>
              <w:top w:val="single" w:sz="4" w:space="0" w:color="auto"/>
              <w:left w:val="single" w:sz="4" w:space="0" w:color="auto"/>
              <w:bottom w:val="single" w:sz="4" w:space="0" w:color="auto"/>
              <w:right w:val="single" w:sz="4" w:space="0" w:color="auto"/>
            </w:tcBorders>
          </w:tcPr>
          <w:p w:rsidR="002044DC" w:rsidRPr="001423E5" w:rsidRDefault="002044DC" w:rsidP="009E5BA9">
            <w:pPr>
              <w:spacing w:after="0" w:line="240" w:lineRule="auto"/>
              <w:rPr>
                <w:rFonts w:ascii="Times New Roman" w:hAnsi="Times New Roman" w:cs="Times New Roman"/>
                <w:b/>
              </w:rPr>
            </w:pPr>
          </w:p>
          <w:p w:rsidR="002044DC" w:rsidRPr="001423E5" w:rsidRDefault="002044DC" w:rsidP="009E5BA9">
            <w:pPr>
              <w:spacing w:after="0" w:line="240" w:lineRule="auto"/>
              <w:rPr>
                <w:rFonts w:ascii="Times New Roman" w:hAnsi="Times New Roman" w:cs="Times New Roman"/>
                <w:b/>
              </w:rPr>
            </w:pPr>
            <w:r w:rsidRPr="001423E5">
              <w:rPr>
                <w:rFonts w:ascii="Times New Roman" w:hAnsi="Times New Roman" w:cs="Times New Roman"/>
                <w:b/>
              </w:rPr>
              <w:t>Romania</w:t>
            </w:r>
          </w:p>
        </w:tc>
        <w:tc>
          <w:tcPr>
            <w:tcW w:w="8163" w:type="dxa"/>
            <w:tcBorders>
              <w:top w:val="single" w:sz="4" w:space="0" w:color="auto"/>
              <w:left w:val="single" w:sz="4" w:space="0" w:color="auto"/>
              <w:bottom w:val="single" w:sz="4" w:space="0" w:color="auto"/>
              <w:right w:val="single" w:sz="4" w:space="0" w:color="auto"/>
            </w:tcBorders>
          </w:tcPr>
          <w:p w:rsidR="002044DC" w:rsidRPr="00FF7CB3" w:rsidRDefault="002044DC" w:rsidP="009E5BA9">
            <w:pPr>
              <w:pStyle w:val="EndnoteText"/>
            </w:pPr>
          </w:p>
          <w:p w:rsidR="002044DC" w:rsidRPr="00FF7CB3" w:rsidRDefault="002044DC" w:rsidP="009E5BA9">
            <w:pPr>
              <w:pStyle w:val="EndnoteText"/>
              <w:rPr>
                <w:rStyle w:val="Emphasis"/>
                <w:bCs/>
                <w:i w:val="0"/>
                <w:iCs w:val="0"/>
                <w:shd w:val="clear" w:color="auto" w:fill="FFFFFF"/>
              </w:rPr>
            </w:pPr>
            <w:r>
              <w:t xml:space="preserve">1990 -- </w:t>
            </w:r>
            <w:r w:rsidRPr="00FF7CB3">
              <w:t xml:space="preserve">Proclamation of </w:t>
            </w:r>
            <w:proofErr w:type="spellStart"/>
            <w:r w:rsidRPr="00FF7CB3">
              <w:rPr>
                <w:rStyle w:val="Emphasis"/>
                <w:bCs/>
                <w:i w:val="0"/>
                <w:iCs w:val="0"/>
                <w:shd w:val="clear" w:color="auto" w:fill="FFFFFF"/>
              </w:rPr>
              <w:t>Timișoara</w:t>
            </w:r>
            <w:r>
              <w:rPr>
                <w:rStyle w:val="Emphasis"/>
                <w:bCs/>
                <w:i w:val="0"/>
                <w:iCs w:val="0"/>
                <w:shd w:val="clear" w:color="auto" w:fill="FFFFFF"/>
              </w:rPr>
              <w:t>’s</w:t>
            </w:r>
            <w:proofErr w:type="spellEnd"/>
            <w:r>
              <w:rPr>
                <w:rStyle w:val="Emphasis"/>
                <w:bCs/>
                <w:i w:val="0"/>
                <w:iCs w:val="0"/>
                <w:shd w:val="clear" w:color="auto" w:fill="FFFFFF"/>
              </w:rPr>
              <w:t xml:space="preserve"> call</w:t>
            </w:r>
            <w:r w:rsidRPr="00FF7CB3">
              <w:rPr>
                <w:rStyle w:val="Emphasis"/>
                <w:bCs/>
                <w:i w:val="0"/>
                <w:iCs w:val="0"/>
                <w:shd w:val="clear" w:color="auto" w:fill="FFFFFF"/>
              </w:rPr>
              <w:t xml:space="preserve"> for lustration </w:t>
            </w:r>
            <w:proofErr w:type="gramStart"/>
            <w:r w:rsidRPr="00FF7CB3">
              <w:rPr>
                <w:rStyle w:val="Emphasis"/>
                <w:bCs/>
                <w:i w:val="0"/>
                <w:iCs w:val="0"/>
                <w:shd w:val="clear" w:color="auto" w:fill="FFFFFF"/>
              </w:rPr>
              <w:t>are</w:t>
            </w:r>
            <w:proofErr w:type="gramEnd"/>
            <w:r w:rsidRPr="00FF7CB3">
              <w:rPr>
                <w:rStyle w:val="Emphasis"/>
                <w:bCs/>
                <w:i w:val="0"/>
                <w:iCs w:val="0"/>
                <w:shd w:val="clear" w:color="auto" w:fill="FFFFFF"/>
              </w:rPr>
              <w:t xml:space="preserve"> not implemented</w:t>
            </w:r>
            <w:r>
              <w:rPr>
                <w:rStyle w:val="Emphasis"/>
                <w:bCs/>
                <w:i w:val="0"/>
                <w:iCs w:val="0"/>
                <w:shd w:val="clear" w:color="auto" w:fill="FFFFFF"/>
              </w:rPr>
              <w:t>.</w:t>
            </w:r>
          </w:p>
          <w:p w:rsidR="002044DC" w:rsidRPr="00FF7CB3" w:rsidRDefault="002044DC" w:rsidP="009E5BA9">
            <w:pPr>
              <w:pStyle w:val="EndnoteText"/>
              <w:rPr>
                <w:rStyle w:val="Emphasis"/>
                <w:bCs/>
                <w:i w:val="0"/>
                <w:iCs w:val="0"/>
                <w:shd w:val="clear" w:color="auto" w:fill="FFFFFF"/>
              </w:rPr>
            </w:pPr>
          </w:p>
          <w:p w:rsidR="002044DC" w:rsidRPr="00FF7CB3" w:rsidRDefault="002044DC" w:rsidP="009E5BA9">
            <w:pPr>
              <w:pStyle w:val="EndnoteText"/>
              <w:rPr>
                <w:rStyle w:val="Emphasis"/>
                <w:bCs/>
                <w:i w:val="0"/>
                <w:iCs w:val="0"/>
                <w:shd w:val="clear" w:color="auto" w:fill="FFFFFF"/>
              </w:rPr>
            </w:pPr>
            <w:r w:rsidRPr="00FF7CB3">
              <w:rPr>
                <w:rStyle w:val="Emphasis"/>
                <w:bCs/>
                <w:i w:val="0"/>
                <w:iCs w:val="0"/>
                <w:shd w:val="clear" w:color="auto" w:fill="FFFFFF"/>
              </w:rPr>
              <w:t>Long period of no activity—President declares lustration over in 1997.</w:t>
            </w:r>
          </w:p>
          <w:p w:rsidR="002044DC" w:rsidRPr="00FF7CB3" w:rsidRDefault="002044DC" w:rsidP="009E5BA9">
            <w:pPr>
              <w:pStyle w:val="EndnoteText"/>
            </w:pPr>
          </w:p>
          <w:p w:rsidR="002044DC" w:rsidRPr="00FF7CB3" w:rsidRDefault="002044DC" w:rsidP="009E5BA9">
            <w:pPr>
              <w:pStyle w:val="EndnoteText"/>
            </w:pPr>
            <w:r>
              <w:t>1999 -- Law 187 of 9 December on</w:t>
            </w:r>
            <w:r w:rsidRPr="00FF7CB3">
              <w:t xml:space="preserve"> </w:t>
            </w:r>
            <w:r>
              <w:t>Access to the P</w:t>
            </w:r>
            <w:r w:rsidRPr="00FF7CB3">
              <w:t>erso</w:t>
            </w:r>
            <w:r>
              <w:t>nal File and D</w:t>
            </w:r>
            <w:r w:rsidRPr="00FF7CB3">
              <w:t xml:space="preserve">isclosure of the </w:t>
            </w:r>
            <w:proofErr w:type="spellStart"/>
            <w:r w:rsidRPr="00FF7CB3">
              <w:t>Securitate</w:t>
            </w:r>
            <w:proofErr w:type="spellEnd"/>
            <w:r w:rsidRPr="00FF7CB3">
              <w:t xml:space="preserve"> as Political Police (</w:t>
            </w:r>
            <w:proofErr w:type="spellStart"/>
            <w:r>
              <w:t>Ticu</w:t>
            </w:r>
            <w:proofErr w:type="spellEnd"/>
            <w:r>
              <w:t xml:space="preserve"> Law). </w:t>
            </w:r>
            <w:r w:rsidRPr="00FF7CB3">
              <w:t>Created Council for the Stud</w:t>
            </w:r>
            <w:r>
              <w:t xml:space="preserve">y of the </w:t>
            </w:r>
            <w:proofErr w:type="spellStart"/>
            <w:r>
              <w:t>Securitate</w:t>
            </w:r>
            <w:proofErr w:type="spellEnd"/>
            <w:r>
              <w:t xml:space="preserve"> Archives (CNSAS</w:t>
            </w:r>
            <w:r w:rsidRPr="00FF7CB3">
              <w:t>) to oversee the secret police files and control public acce</w:t>
            </w:r>
            <w:r>
              <w:t>ss to this information. CNSAS</w:t>
            </w:r>
            <w:r w:rsidRPr="00FF7CB3">
              <w:t xml:space="preserve"> functions as </w:t>
            </w:r>
            <w:r>
              <w:t>a de facto vetting institution</w:t>
            </w:r>
            <w:r w:rsidRPr="00FF7CB3">
              <w:t>, issuing symbolic rulings, but implementation limited (70 collaborators re</w:t>
            </w:r>
            <w:r>
              <w:t>vealed, 38 candidates resign).</w:t>
            </w:r>
          </w:p>
          <w:p w:rsidR="002044DC" w:rsidRPr="00FF7CB3" w:rsidRDefault="002044DC" w:rsidP="009E5BA9">
            <w:pPr>
              <w:pStyle w:val="EndnoteText"/>
            </w:pPr>
          </w:p>
          <w:p w:rsidR="002044DC" w:rsidRDefault="002044DC" w:rsidP="009E5BA9">
            <w:pPr>
              <w:pStyle w:val="EndnoteText"/>
            </w:pPr>
            <w:r w:rsidRPr="00FF7CB3">
              <w:t>2005</w:t>
            </w:r>
            <w:r>
              <w:t xml:space="preserve"> </w:t>
            </w:r>
            <w:r w:rsidRPr="00FF7CB3">
              <w:t>--</w:t>
            </w:r>
            <w:r>
              <w:t xml:space="preserve"> Emergency Ordinance 149 of 10 November extends the CNSAS</w:t>
            </w:r>
            <w:r w:rsidRPr="00FF7CB3">
              <w:t>’</w:t>
            </w:r>
            <w:r>
              <w:t>s activities.</w:t>
            </w:r>
          </w:p>
          <w:p w:rsidR="002044DC" w:rsidRDefault="002044DC" w:rsidP="009E5BA9">
            <w:pPr>
              <w:pStyle w:val="EndnoteText"/>
            </w:pPr>
          </w:p>
          <w:p w:rsidR="002044DC" w:rsidRPr="00FF7CB3" w:rsidRDefault="002044DC" w:rsidP="009E5BA9">
            <w:pPr>
              <w:pStyle w:val="EndnoteText"/>
            </w:pPr>
            <w:r>
              <w:t xml:space="preserve">2006 -- Emergency Ordinance 16 of 22 February </w:t>
            </w:r>
            <w:r w:rsidRPr="00FF7CB3">
              <w:t xml:space="preserve">modifies Law 187/1999 </w:t>
            </w:r>
            <w:r>
              <w:t>to facilitate the work of the CNSA</w:t>
            </w:r>
            <w:r w:rsidRPr="00FF7CB3">
              <w:t>S.</w:t>
            </w:r>
            <w:r>
              <w:t xml:space="preserve"> R</w:t>
            </w:r>
            <w:r w:rsidRPr="00FF7CB3">
              <w:t>enewed lustration—270 collaborators revealed through informal disclosures.</w:t>
            </w:r>
          </w:p>
          <w:p w:rsidR="002044DC" w:rsidRPr="00FF7CB3" w:rsidRDefault="002044DC" w:rsidP="009E5BA9">
            <w:pPr>
              <w:pStyle w:val="EndnoteText"/>
            </w:pPr>
          </w:p>
          <w:p w:rsidR="002044DC" w:rsidRPr="00FF7CB3" w:rsidRDefault="002044DC" w:rsidP="009E5BA9">
            <w:pPr>
              <w:pStyle w:val="EndnoteText"/>
            </w:pPr>
            <w:r w:rsidRPr="00FF7CB3">
              <w:t>2008</w:t>
            </w:r>
            <w:r>
              <w:t xml:space="preserve"> </w:t>
            </w:r>
            <w:r w:rsidRPr="00FF7CB3">
              <w:t>--</w:t>
            </w:r>
            <w:r>
              <w:t xml:space="preserve"> </w:t>
            </w:r>
            <w:r w:rsidRPr="00FF7CB3">
              <w:t>Constitut</w:t>
            </w:r>
            <w:r>
              <w:t xml:space="preserve">ional Court Decision </w:t>
            </w:r>
            <w:r w:rsidRPr="00FF7CB3">
              <w:t xml:space="preserve">51 </w:t>
            </w:r>
            <w:r>
              <w:t>of 31 January declares</w:t>
            </w:r>
            <w:r w:rsidRPr="00FF7CB3">
              <w:t xml:space="preserve"> Law 187/1999 unc</w:t>
            </w:r>
            <w:r>
              <w:t>onstitutional</w:t>
            </w:r>
            <w:r w:rsidRPr="00FF7CB3">
              <w:t>.</w:t>
            </w:r>
          </w:p>
          <w:p w:rsidR="002044DC" w:rsidRPr="00FF7CB3" w:rsidRDefault="002044DC" w:rsidP="009E5BA9">
            <w:pPr>
              <w:pStyle w:val="EndnoteText"/>
            </w:pPr>
          </w:p>
          <w:p w:rsidR="002044DC" w:rsidRPr="00FF7CB3" w:rsidRDefault="002044DC" w:rsidP="009E5BA9">
            <w:pPr>
              <w:pStyle w:val="EndnoteText"/>
            </w:pPr>
            <w:r w:rsidRPr="00FF7CB3">
              <w:t>2008</w:t>
            </w:r>
            <w:r>
              <w:t xml:space="preserve"> </w:t>
            </w:r>
            <w:r w:rsidRPr="00FF7CB3">
              <w:t>--</w:t>
            </w:r>
            <w:r>
              <w:t xml:space="preserve"> </w:t>
            </w:r>
            <w:r w:rsidRPr="00FF7CB3">
              <w:t>Parliament pass</w:t>
            </w:r>
            <w:r>
              <w:t>es Law 293 of 14 November to modify</w:t>
            </w:r>
            <w:r w:rsidRPr="00FF7CB3">
              <w:t xml:space="preserve"> Emergency Ordinance </w:t>
            </w:r>
            <w:r>
              <w:t>16 and change the activities of the CNSA</w:t>
            </w:r>
            <w:r w:rsidRPr="00FF7CB3">
              <w:t>S.</w:t>
            </w:r>
          </w:p>
          <w:p w:rsidR="002044DC" w:rsidRPr="00FF7CB3" w:rsidRDefault="002044DC" w:rsidP="009E5BA9">
            <w:pPr>
              <w:pStyle w:val="EndnoteText"/>
            </w:pPr>
          </w:p>
          <w:p w:rsidR="002044DC" w:rsidRPr="00FF7CB3" w:rsidRDefault="002044DC" w:rsidP="009E5BA9">
            <w:pPr>
              <w:pStyle w:val="EndnoteText"/>
            </w:pPr>
            <w:r w:rsidRPr="00FF7CB3">
              <w:t>2012</w:t>
            </w:r>
            <w:r>
              <w:t xml:space="preserve"> -- New Lustration Law, passed by Parliament in </w:t>
            </w:r>
            <w:r w:rsidRPr="00FF7CB3">
              <w:t xml:space="preserve">February 2012, </w:t>
            </w:r>
            <w:r>
              <w:t>is</w:t>
            </w:r>
            <w:r w:rsidRPr="00FF7CB3">
              <w:t xml:space="preserve"> declared unconstitutional.</w:t>
            </w:r>
          </w:p>
          <w:p w:rsidR="002044DC" w:rsidRPr="00FF7CB3" w:rsidRDefault="002044DC" w:rsidP="009E5BA9">
            <w:pPr>
              <w:pStyle w:val="EndnoteText"/>
            </w:pPr>
          </w:p>
          <w:p w:rsidR="002044DC" w:rsidRPr="00FF7CB3" w:rsidRDefault="002044DC" w:rsidP="009E5BA9">
            <w:pPr>
              <w:pStyle w:val="EndnoteText"/>
            </w:pPr>
            <w:r>
              <w:t xml:space="preserve">2012-present -- </w:t>
            </w:r>
            <w:r w:rsidRPr="00FF7CB3">
              <w:t>public</w:t>
            </w:r>
            <w:r>
              <w:t xml:space="preserve"> disclosures continue through CNSAS.</w:t>
            </w:r>
          </w:p>
        </w:tc>
      </w:tr>
    </w:tbl>
    <w:p w:rsidR="002044DC" w:rsidRDefault="002044DC" w:rsidP="002044DC">
      <w:pPr>
        <w:rPr>
          <w:rFonts w:ascii="Times New Roman" w:hAnsi="Times New Roman" w:cs="Times New Roman"/>
          <w:b/>
        </w:rPr>
      </w:pPr>
    </w:p>
    <w:p w:rsidR="002044DC" w:rsidRDefault="002044DC" w:rsidP="002044DC">
      <w:pPr>
        <w:rPr>
          <w:rFonts w:ascii="Times New Roman" w:hAnsi="Times New Roman" w:cs="Times New Roman"/>
          <w:b/>
        </w:rPr>
      </w:pPr>
      <w:r>
        <w:rPr>
          <w:rFonts w:ascii="Times New Roman" w:hAnsi="Times New Roman" w:cs="Times New Roman"/>
          <w:b/>
        </w:rPr>
        <w:br w:type="page"/>
      </w:r>
    </w:p>
    <w:p w:rsidR="002044DC" w:rsidRPr="00A30C8E" w:rsidRDefault="002044DC" w:rsidP="002044DC">
      <w:pPr>
        <w:rPr>
          <w:rFonts w:ascii="Times New Roman" w:hAnsi="Times New Roman" w:cs="Times New Roman"/>
          <w:b/>
        </w:rPr>
      </w:pPr>
      <w:r>
        <w:rPr>
          <w:rFonts w:ascii="Times New Roman" w:hAnsi="Times New Roman" w:cs="Times New Roman"/>
          <w:b/>
        </w:rPr>
        <w:lastRenderedPageBreak/>
        <w:t xml:space="preserve">Table 3.2: </w:t>
      </w:r>
      <w:r w:rsidRPr="00A30C8E">
        <w:rPr>
          <w:rFonts w:ascii="Times New Roman" w:hAnsi="Times New Roman" w:cs="Times New Roman"/>
          <w:b/>
        </w:rPr>
        <w:t>Timing of Transitional Justice Compared with Dominant Political Parties</w:t>
      </w:r>
    </w:p>
    <w:tbl>
      <w:tblPr>
        <w:tblStyle w:val="TableGrid"/>
        <w:tblW w:w="0" w:type="auto"/>
        <w:tblLook w:val="04A0"/>
      </w:tblPr>
      <w:tblGrid>
        <w:gridCol w:w="599"/>
        <w:gridCol w:w="1711"/>
        <w:gridCol w:w="2363"/>
        <w:gridCol w:w="709"/>
        <w:gridCol w:w="1932"/>
        <w:gridCol w:w="2036"/>
      </w:tblGrid>
      <w:tr w:rsidR="002044DC" w:rsidRPr="00FA7C05" w:rsidTr="009E5BA9">
        <w:tc>
          <w:tcPr>
            <w:tcW w:w="599" w:type="dxa"/>
          </w:tcPr>
          <w:p w:rsidR="002044DC" w:rsidRPr="00FA7C05" w:rsidRDefault="002044DC" w:rsidP="009E5BA9">
            <w:pPr>
              <w:jc w:val="center"/>
              <w:rPr>
                <w:rFonts w:ascii="Times New Roman" w:hAnsi="Times New Roman" w:cs="Times New Roman"/>
                <w:b/>
                <w:sz w:val="18"/>
                <w:szCs w:val="18"/>
              </w:rPr>
            </w:pPr>
            <w:r w:rsidRPr="00FA7C05">
              <w:rPr>
                <w:rFonts w:ascii="Times New Roman" w:hAnsi="Times New Roman" w:cs="Times New Roman"/>
                <w:b/>
                <w:sz w:val="18"/>
                <w:szCs w:val="18"/>
              </w:rPr>
              <w:t>Year</w:t>
            </w:r>
          </w:p>
        </w:tc>
        <w:tc>
          <w:tcPr>
            <w:tcW w:w="1711" w:type="dxa"/>
          </w:tcPr>
          <w:p w:rsidR="002044DC" w:rsidRPr="00FA7C05" w:rsidRDefault="002044DC" w:rsidP="009E5BA9">
            <w:pPr>
              <w:jc w:val="center"/>
              <w:rPr>
                <w:rFonts w:ascii="Times New Roman" w:hAnsi="Times New Roman" w:cs="Times New Roman"/>
                <w:b/>
                <w:sz w:val="18"/>
                <w:szCs w:val="18"/>
              </w:rPr>
            </w:pPr>
            <w:r w:rsidRPr="00FA7C05">
              <w:rPr>
                <w:rFonts w:ascii="Times New Roman" w:hAnsi="Times New Roman" w:cs="Times New Roman"/>
                <w:b/>
                <w:sz w:val="18"/>
                <w:szCs w:val="18"/>
              </w:rPr>
              <w:t>Transitional Justice Measure</w:t>
            </w:r>
          </w:p>
        </w:tc>
        <w:tc>
          <w:tcPr>
            <w:tcW w:w="2363" w:type="dxa"/>
          </w:tcPr>
          <w:p w:rsidR="002044DC" w:rsidRPr="00FA7C05" w:rsidRDefault="002044DC" w:rsidP="009E5BA9">
            <w:pPr>
              <w:jc w:val="center"/>
              <w:rPr>
                <w:rFonts w:ascii="Times New Roman" w:hAnsi="Times New Roman" w:cs="Times New Roman"/>
                <w:b/>
                <w:sz w:val="18"/>
                <w:szCs w:val="18"/>
              </w:rPr>
            </w:pPr>
            <w:r w:rsidRPr="00FA7C05">
              <w:rPr>
                <w:rFonts w:ascii="Times New Roman" w:hAnsi="Times New Roman" w:cs="Times New Roman"/>
                <w:b/>
                <w:sz w:val="18"/>
                <w:szCs w:val="18"/>
              </w:rPr>
              <w:t>Political Parties Dominant in Parliament</w:t>
            </w:r>
            <w:r>
              <w:rPr>
                <w:rFonts w:ascii="Times New Roman" w:hAnsi="Times New Roman" w:cs="Times New Roman"/>
                <w:b/>
                <w:sz w:val="18"/>
                <w:szCs w:val="18"/>
              </w:rPr>
              <w:t>ary Elections (% votes)</w:t>
            </w:r>
          </w:p>
        </w:tc>
        <w:tc>
          <w:tcPr>
            <w:tcW w:w="709" w:type="dxa"/>
          </w:tcPr>
          <w:p w:rsidR="002044DC" w:rsidRPr="00FA7C05" w:rsidRDefault="002044DC" w:rsidP="009E5BA9">
            <w:pPr>
              <w:jc w:val="center"/>
              <w:rPr>
                <w:rFonts w:ascii="Times New Roman" w:hAnsi="Times New Roman" w:cs="Times New Roman"/>
                <w:b/>
                <w:sz w:val="18"/>
                <w:szCs w:val="18"/>
              </w:rPr>
            </w:pPr>
            <w:r w:rsidRPr="00FA7C05">
              <w:rPr>
                <w:rFonts w:ascii="Times New Roman" w:hAnsi="Times New Roman" w:cs="Times New Roman"/>
                <w:b/>
                <w:sz w:val="18"/>
                <w:szCs w:val="18"/>
              </w:rPr>
              <w:t>Year</w:t>
            </w:r>
          </w:p>
        </w:tc>
        <w:tc>
          <w:tcPr>
            <w:tcW w:w="1932" w:type="dxa"/>
          </w:tcPr>
          <w:p w:rsidR="002044DC" w:rsidRPr="00FA7C05" w:rsidRDefault="002044DC" w:rsidP="009E5BA9">
            <w:pPr>
              <w:jc w:val="center"/>
              <w:rPr>
                <w:rFonts w:ascii="Times New Roman" w:hAnsi="Times New Roman" w:cs="Times New Roman"/>
                <w:b/>
                <w:sz w:val="18"/>
                <w:szCs w:val="18"/>
              </w:rPr>
            </w:pPr>
            <w:r w:rsidRPr="00FA7C05">
              <w:rPr>
                <w:rFonts w:ascii="Times New Roman" w:hAnsi="Times New Roman" w:cs="Times New Roman"/>
                <w:b/>
                <w:sz w:val="18"/>
                <w:szCs w:val="18"/>
              </w:rPr>
              <w:t>Transitional Justice Measure</w:t>
            </w:r>
          </w:p>
        </w:tc>
        <w:tc>
          <w:tcPr>
            <w:tcW w:w="2036" w:type="dxa"/>
          </w:tcPr>
          <w:p w:rsidR="002044DC" w:rsidRPr="00FA7C05" w:rsidRDefault="002044DC" w:rsidP="009E5BA9">
            <w:pPr>
              <w:jc w:val="center"/>
              <w:rPr>
                <w:rFonts w:ascii="Times New Roman" w:hAnsi="Times New Roman" w:cs="Times New Roman"/>
                <w:b/>
                <w:sz w:val="18"/>
                <w:szCs w:val="18"/>
              </w:rPr>
            </w:pPr>
            <w:r w:rsidRPr="00FA7C05">
              <w:rPr>
                <w:rFonts w:ascii="Times New Roman" w:hAnsi="Times New Roman" w:cs="Times New Roman"/>
                <w:b/>
                <w:sz w:val="18"/>
                <w:szCs w:val="18"/>
              </w:rPr>
              <w:t>Political Parties Dominant in Parliament</w:t>
            </w:r>
            <w:r>
              <w:rPr>
                <w:rFonts w:ascii="Times New Roman" w:hAnsi="Times New Roman" w:cs="Times New Roman"/>
                <w:b/>
                <w:sz w:val="18"/>
                <w:szCs w:val="18"/>
              </w:rPr>
              <w:t>ary Elections (% votes)</w:t>
            </w: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1990</w:t>
            </w:r>
          </w:p>
        </w:tc>
        <w:tc>
          <w:tcPr>
            <w:tcW w:w="1711" w:type="dxa"/>
          </w:tcPr>
          <w:p w:rsidR="002044DC" w:rsidRPr="00B40EB6" w:rsidRDefault="002044DC" w:rsidP="009E5BA9">
            <w:pPr>
              <w:pStyle w:val="EndnoteText"/>
              <w:rPr>
                <w:bCs/>
                <w:i/>
                <w:sz w:val="16"/>
                <w:szCs w:val="16"/>
                <w:shd w:val="clear" w:color="auto" w:fill="FFFFFF"/>
              </w:rPr>
            </w:pPr>
            <w:r w:rsidRPr="006924E2">
              <w:rPr>
                <w:i/>
                <w:sz w:val="16"/>
                <w:szCs w:val="16"/>
              </w:rPr>
              <w:t xml:space="preserve">Proclamation of </w:t>
            </w:r>
            <w:proofErr w:type="spellStart"/>
            <w:r w:rsidRPr="006924E2">
              <w:rPr>
                <w:rStyle w:val="Emphasis"/>
                <w:bCs/>
                <w:sz w:val="16"/>
                <w:szCs w:val="16"/>
                <w:shd w:val="clear" w:color="auto" w:fill="FFFFFF"/>
              </w:rPr>
              <w:t>Timișoara’s</w:t>
            </w:r>
            <w:proofErr w:type="spellEnd"/>
            <w:r w:rsidRPr="00B40EB6">
              <w:rPr>
                <w:rStyle w:val="Emphasis"/>
                <w:bCs/>
                <w:i w:val="0"/>
                <w:sz w:val="16"/>
                <w:szCs w:val="16"/>
                <w:shd w:val="clear" w:color="auto" w:fill="FFFFFF"/>
              </w:rPr>
              <w:t xml:space="preserve"> calls for lustration are not implemented</w:t>
            </w:r>
          </w:p>
        </w:tc>
        <w:tc>
          <w:tcPr>
            <w:tcW w:w="2363" w:type="dxa"/>
          </w:tcPr>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t>66.3</w:t>
            </w:r>
            <w:r>
              <w:rPr>
                <w:rFonts w:ascii="Times New Roman" w:hAnsi="Times New Roman" w:cs="Times New Roman"/>
                <w:sz w:val="16"/>
                <w:szCs w:val="16"/>
              </w:rPr>
              <w:t>1% National Salvation Front (FSN)</w:t>
            </w:r>
            <w:r>
              <w:rPr>
                <w:rFonts w:ascii="Times New Roman" w:eastAsia="Times New Roman" w:hAnsi="Times New Roman" w:cs="Times New Roman"/>
                <w:color w:val="000000"/>
                <w:sz w:val="16"/>
                <w:szCs w:val="16"/>
              </w:rPr>
              <w:t>—</w:t>
            </w:r>
            <w:r>
              <w:rPr>
                <w:rFonts w:ascii="Times New Roman" w:hAnsi="Times New Roman" w:cs="Times New Roman"/>
                <w:i/>
                <w:sz w:val="16"/>
                <w:szCs w:val="16"/>
              </w:rPr>
              <w:t>l</w:t>
            </w:r>
            <w:r w:rsidRPr="0090083A">
              <w:rPr>
                <w:rFonts w:ascii="Times New Roman" w:hAnsi="Times New Roman" w:cs="Times New Roman"/>
                <w:i/>
                <w:sz w:val="16"/>
                <w:szCs w:val="16"/>
              </w:rPr>
              <w:t>eft/center-left, made up of former communists</w:t>
            </w:r>
          </w:p>
        </w:tc>
        <w:tc>
          <w:tcPr>
            <w:tcW w:w="70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2004</w:t>
            </w:r>
          </w:p>
        </w:tc>
        <w:tc>
          <w:tcPr>
            <w:tcW w:w="1932" w:type="dxa"/>
          </w:tcPr>
          <w:p w:rsidR="002044DC" w:rsidRPr="00196C49" w:rsidRDefault="002044DC" w:rsidP="009E5BA9">
            <w:pPr>
              <w:pStyle w:val="EndnoteText"/>
              <w:rPr>
                <w:sz w:val="16"/>
                <w:szCs w:val="16"/>
              </w:rPr>
            </w:pPr>
          </w:p>
        </w:tc>
        <w:tc>
          <w:tcPr>
            <w:tcW w:w="2036" w:type="dxa"/>
          </w:tcPr>
          <w:p w:rsidR="002044DC" w:rsidRDefault="002044DC" w:rsidP="009E5BA9">
            <w:pPr>
              <w:rPr>
                <w:rFonts w:ascii="Times New Roman" w:eastAsia="Times New Roman" w:hAnsi="Times New Roman" w:cs="Times New Roman"/>
                <w:i/>
                <w:color w:val="000000"/>
                <w:sz w:val="16"/>
                <w:szCs w:val="16"/>
              </w:rPr>
            </w:pPr>
            <w:r>
              <w:rPr>
                <w:rFonts w:ascii="Times New Roman" w:hAnsi="Times New Roman" w:cs="Times New Roman"/>
                <w:sz w:val="16"/>
                <w:szCs w:val="16"/>
              </w:rPr>
              <w:t>36.61%</w:t>
            </w:r>
            <w:r w:rsidRPr="00196C49">
              <w:rPr>
                <w:rFonts w:ascii="Times New Roman" w:hAnsi="Times New Roman" w:cs="Times New Roman"/>
                <w:sz w:val="16"/>
                <w:szCs w:val="16"/>
              </w:rPr>
              <w:t xml:space="preserve"> </w:t>
            </w:r>
            <w:r>
              <w:rPr>
                <w:rFonts w:ascii="Times New Roman" w:eastAsia="Times New Roman" w:hAnsi="Times New Roman" w:cs="Times New Roman"/>
                <w:color w:val="000000"/>
                <w:sz w:val="16"/>
                <w:szCs w:val="16"/>
              </w:rPr>
              <w:t>National Union PSD+PUR—</w:t>
            </w:r>
            <w:r>
              <w:rPr>
                <w:rFonts w:ascii="Times New Roman" w:eastAsia="Times New Roman" w:hAnsi="Times New Roman" w:cs="Times New Roman"/>
                <w:i/>
                <w:color w:val="000000"/>
                <w:sz w:val="16"/>
                <w:szCs w:val="16"/>
              </w:rPr>
              <w:t xml:space="preserve">center-left </w:t>
            </w:r>
          </w:p>
          <w:p w:rsidR="002044DC" w:rsidRDefault="002044DC" w:rsidP="009E5BA9">
            <w:pPr>
              <w:rPr>
                <w:rFonts w:ascii="Times New Roman" w:eastAsia="Times New Roman" w:hAnsi="Times New Roman" w:cs="Times New Roman"/>
                <w:i/>
                <w:color w:val="000000"/>
                <w:sz w:val="16"/>
                <w:szCs w:val="16"/>
              </w:rPr>
            </w:pPr>
          </w:p>
          <w:p w:rsidR="002044DC" w:rsidRPr="00196C49" w:rsidRDefault="002044DC" w:rsidP="009E5BA9">
            <w:pPr>
              <w:rPr>
                <w:rFonts w:ascii="Times New Roman" w:hAnsi="Times New Roman" w:cs="Times New Roman"/>
                <w:sz w:val="16"/>
                <w:szCs w:val="16"/>
              </w:rPr>
            </w:pPr>
            <w:r>
              <w:rPr>
                <w:rFonts w:ascii="Times New Roman" w:hAnsi="Times New Roman" w:cs="Times New Roman"/>
                <w:sz w:val="16"/>
                <w:szCs w:val="16"/>
              </w:rPr>
              <w:t>31.33%</w:t>
            </w:r>
            <w:r w:rsidRPr="00196C49">
              <w:rPr>
                <w:rFonts w:ascii="Times New Roman" w:hAnsi="Times New Roman" w:cs="Times New Roman"/>
                <w:sz w:val="16"/>
                <w:szCs w:val="16"/>
              </w:rPr>
              <w:t xml:space="preserve"> </w:t>
            </w:r>
            <w:r>
              <w:rPr>
                <w:rFonts w:ascii="Times New Roman" w:eastAsia="Times New Roman" w:hAnsi="Times New Roman" w:cs="Times New Roman"/>
                <w:color w:val="000000"/>
                <w:sz w:val="16"/>
                <w:szCs w:val="16"/>
              </w:rPr>
              <w:t>Justice and Tru</w:t>
            </w:r>
            <w:r w:rsidRPr="00196C49">
              <w:rPr>
                <w:rFonts w:ascii="Times New Roman" w:eastAsia="Times New Roman" w:hAnsi="Times New Roman" w:cs="Times New Roman"/>
                <w:color w:val="000000"/>
                <w:sz w:val="16"/>
                <w:szCs w:val="16"/>
              </w:rPr>
              <w:t>t</w:t>
            </w:r>
            <w:r>
              <w:rPr>
                <w:rFonts w:ascii="Times New Roman" w:eastAsia="Times New Roman" w:hAnsi="Times New Roman" w:cs="Times New Roman"/>
                <w:color w:val="000000"/>
                <w:sz w:val="16"/>
                <w:szCs w:val="16"/>
              </w:rPr>
              <w:t>h</w:t>
            </w:r>
            <w:r w:rsidRPr="000720D8">
              <w:rPr>
                <w:rFonts w:ascii="Times New Roman" w:eastAsia="Times New Roman" w:hAnsi="Times New Roman" w:cs="Times New Roman"/>
                <w:color w:val="000000"/>
                <w:sz w:val="16"/>
                <w:szCs w:val="16"/>
              </w:rPr>
              <w:t xml:space="preserve"> Alliance (</w:t>
            </w:r>
            <w:r>
              <w:rPr>
                <w:rFonts w:ascii="Times New Roman" w:eastAsia="Times New Roman" w:hAnsi="Times New Roman" w:cs="Times New Roman"/>
                <w:color w:val="000000"/>
                <w:sz w:val="16"/>
                <w:szCs w:val="16"/>
              </w:rPr>
              <w:t>DA</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sidRPr="006E260C">
              <w:rPr>
                <w:rFonts w:ascii="Times New Roman" w:eastAsia="Times New Roman" w:hAnsi="Times New Roman" w:cs="Times New Roman"/>
                <w:i/>
                <w:color w:val="000000"/>
                <w:sz w:val="16"/>
                <w:szCs w:val="16"/>
              </w:rPr>
              <w:t>center-right</w:t>
            </w: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1992</w:t>
            </w:r>
          </w:p>
        </w:tc>
        <w:tc>
          <w:tcPr>
            <w:tcW w:w="1711" w:type="dxa"/>
          </w:tcPr>
          <w:p w:rsidR="002044DC" w:rsidRPr="00B40EB6" w:rsidRDefault="002044DC" w:rsidP="009E5BA9">
            <w:pPr>
              <w:rPr>
                <w:rFonts w:ascii="Times New Roman" w:hAnsi="Times New Roman" w:cs="Times New Roman"/>
                <w:i/>
                <w:sz w:val="16"/>
                <w:szCs w:val="16"/>
              </w:rPr>
            </w:pPr>
          </w:p>
        </w:tc>
        <w:tc>
          <w:tcPr>
            <w:tcW w:w="2363" w:type="dxa"/>
          </w:tcPr>
          <w:p w:rsidR="002044DC" w:rsidRPr="00196C49" w:rsidRDefault="002044DC" w:rsidP="009E5BA9">
            <w:pPr>
              <w:rPr>
                <w:rFonts w:ascii="Times New Roman" w:eastAsia="Times New Roman" w:hAnsi="Times New Roman" w:cs="Times New Roman"/>
                <w:color w:val="000000"/>
                <w:sz w:val="16"/>
                <w:szCs w:val="16"/>
              </w:rPr>
            </w:pPr>
            <w:r w:rsidRPr="00196C49">
              <w:rPr>
                <w:rFonts w:ascii="Times New Roman" w:hAnsi="Times New Roman" w:cs="Times New Roman"/>
                <w:sz w:val="16"/>
                <w:szCs w:val="16"/>
              </w:rPr>
              <w:t xml:space="preserve">27.72% </w:t>
            </w:r>
            <w:r w:rsidRPr="000720D8">
              <w:rPr>
                <w:rFonts w:ascii="Times New Roman" w:eastAsia="Times New Roman" w:hAnsi="Times New Roman" w:cs="Times New Roman"/>
                <w:color w:val="000000"/>
                <w:sz w:val="16"/>
                <w:szCs w:val="16"/>
              </w:rPr>
              <w:t>Democratic National Salvation Front</w:t>
            </w:r>
            <w:r>
              <w:rPr>
                <w:rFonts w:ascii="Times New Roman" w:eastAsia="Times New Roman" w:hAnsi="Times New Roman" w:cs="Times New Roman"/>
                <w:color w:val="000000"/>
                <w:sz w:val="16"/>
                <w:szCs w:val="16"/>
              </w:rPr>
              <w:t xml:space="preserve"> (FDSN</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sidRPr="0090083A">
              <w:rPr>
                <w:rFonts w:ascii="Times New Roman" w:eastAsia="Times New Roman" w:hAnsi="Times New Roman" w:cs="Times New Roman"/>
                <w:i/>
                <w:color w:val="000000"/>
                <w:sz w:val="16"/>
                <w:szCs w:val="16"/>
              </w:rPr>
              <w:t>center-left</w:t>
            </w:r>
          </w:p>
          <w:p w:rsidR="002044DC" w:rsidRPr="00196C49" w:rsidRDefault="002044DC" w:rsidP="009E5BA9">
            <w:pPr>
              <w:rPr>
                <w:rFonts w:ascii="Times New Roman" w:eastAsia="Times New Roman" w:hAnsi="Times New Roman" w:cs="Times New Roman"/>
                <w:color w:val="000000"/>
                <w:sz w:val="16"/>
                <w:szCs w:val="16"/>
              </w:rPr>
            </w:pPr>
          </w:p>
          <w:p w:rsidR="002044DC" w:rsidRPr="00196C49" w:rsidRDefault="002044DC" w:rsidP="009E5BA9">
            <w:pPr>
              <w:rPr>
                <w:rFonts w:ascii="Times New Roman" w:hAnsi="Times New Roman" w:cs="Times New Roman"/>
                <w:sz w:val="16"/>
                <w:szCs w:val="16"/>
              </w:rPr>
            </w:pPr>
            <w:r w:rsidRPr="00196C49">
              <w:rPr>
                <w:rFonts w:ascii="Times New Roman" w:eastAsia="Times New Roman" w:hAnsi="Times New Roman" w:cs="Times New Roman"/>
                <w:color w:val="000000"/>
                <w:sz w:val="16"/>
                <w:szCs w:val="16"/>
              </w:rPr>
              <w:t xml:space="preserve">20% </w:t>
            </w:r>
            <w:r w:rsidRPr="000720D8">
              <w:rPr>
                <w:rFonts w:ascii="Times New Roman" w:eastAsia="Times New Roman" w:hAnsi="Times New Roman" w:cs="Times New Roman"/>
                <w:color w:val="000000"/>
                <w:sz w:val="16"/>
                <w:szCs w:val="16"/>
              </w:rPr>
              <w:t>Democratic Convention of Romania (</w:t>
            </w:r>
            <w:r w:rsidRPr="00196C49">
              <w:rPr>
                <w:rFonts w:ascii="Times New Roman" w:eastAsia="Times New Roman" w:hAnsi="Times New Roman" w:cs="Times New Roman"/>
                <w:color w:val="000000"/>
                <w:sz w:val="16"/>
                <w:szCs w:val="16"/>
              </w:rPr>
              <w:t>CDR</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sidRPr="00523A3A">
              <w:rPr>
                <w:rFonts w:ascii="Times New Roman" w:eastAsia="Times New Roman" w:hAnsi="Times New Roman" w:cs="Times New Roman"/>
                <w:i/>
                <w:color w:val="000000"/>
                <w:sz w:val="16"/>
                <w:szCs w:val="16"/>
              </w:rPr>
              <w:t>center-right</w:t>
            </w:r>
            <w:r>
              <w:rPr>
                <w:rFonts w:ascii="Times New Roman" w:eastAsia="Times New Roman" w:hAnsi="Times New Roman" w:cs="Times New Roman"/>
                <w:color w:val="000000"/>
                <w:sz w:val="16"/>
                <w:szCs w:val="16"/>
              </w:rPr>
              <w:t xml:space="preserve"> </w:t>
            </w:r>
            <w:r w:rsidRPr="00B40EB6">
              <w:rPr>
                <w:rFonts w:ascii="Times New Roman" w:eastAsia="Times New Roman" w:hAnsi="Times New Roman" w:cs="Times New Roman"/>
                <w:color w:val="000000"/>
                <w:sz w:val="16"/>
                <w:szCs w:val="16"/>
              </w:rPr>
              <w:t>electoral alliance of parties against National Salvation Front (</w:t>
            </w:r>
            <w:r>
              <w:rPr>
                <w:rFonts w:ascii="Times New Roman" w:eastAsia="Times New Roman" w:hAnsi="Times New Roman" w:cs="Times New Roman"/>
                <w:color w:val="000000"/>
                <w:sz w:val="16"/>
                <w:szCs w:val="16"/>
              </w:rPr>
              <w:t xml:space="preserve">FSN, </w:t>
            </w:r>
            <w:r w:rsidRPr="00B40EB6">
              <w:rPr>
                <w:rFonts w:ascii="Times New Roman" w:eastAsia="Times New Roman" w:hAnsi="Times New Roman" w:cs="Times New Roman"/>
                <w:color w:val="000000"/>
                <w:sz w:val="16"/>
                <w:szCs w:val="16"/>
              </w:rPr>
              <w:t>former communists)</w:t>
            </w:r>
          </w:p>
        </w:tc>
        <w:tc>
          <w:tcPr>
            <w:tcW w:w="70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2005</w:t>
            </w:r>
          </w:p>
        </w:tc>
        <w:tc>
          <w:tcPr>
            <w:tcW w:w="1932" w:type="dxa"/>
          </w:tcPr>
          <w:p w:rsidR="002044DC" w:rsidRPr="00196C49" w:rsidRDefault="002044DC" w:rsidP="009E5BA9">
            <w:pPr>
              <w:pStyle w:val="EndnoteText"/>
              <w:rPr>
                <w:sz w:val="16"/>
                <w:szCs w:val="16"/>
              </w:rPr>
            </w:pPr>
            <w:r w:rsidRPr="00196C49">
              <w:rPr>
                <w:sz w:val="16"/>
                <w:szCs w:val="16"/>
              </w:rPr>
              <w:t xml:space="preserve">Emergency Ordinance No. 149, </w:t>
            </w:r>
            <w:r>
              <w:rPr>
                <w:sz w:val="16"/>
                <w:szCs w:val="16"/>
              </w:rPr>
              <w:t>extending the CNSAS</w:t>
            </w:r>
            <w:r w:rsidRPr="00196C49">
              <w:rPr>
                <w:sz w:val="16"/>
                <w:szCs w:val="16"/>
              </w:rPr>
              <w:t>’</w:t>
            </w:r>
            <w:r>
              <w:rPr>
                <w:sz w:val="16"/>
                <w:szCs w:val="16"/>
              </w:rPr>
              <w:t>s</w:t>
            </w:r>
            <w:r w:rsidRPr="00196C49">
              <w:rPr>
                <w:sz w:val="16"/>
                <w:szCs w:val="16"/>
              </w:rPr>
              <w:t xml:space="preserve"> activities</w:t>
            </w:r>
            <w:r>
              <w:rPr>
                <w:sz w:val="16"/>
                <w:szCs w:val="16"/>
              </w:rPr>
              <w:t>.</w:t>
            </w:r>
          </w:p>
          <w:p w:rsidR="002044DC" w:rsidRPr="00196C49" w:rsidRDefault="002044DC" w:rsidP="009E5BA9">
            <w:pPr>
              <w:rPr>
                <w:rFonts w:ascii="Times New Roman" w:hAnsi="Times New Roman" w:cs="Times New Roman"/>
                <w:sz w:val="16"/>
                <w:szCs w:val="16"/>
              </w:rPr>
            </w:pPr>
          </w:p>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t>1 million</w:t>
            </w:r>
            <w:r>
              <w:rPr>
                <w:rFonts w:ascii="Times New Roman" w:hAnsi="Times New Roman" w:cs="Times New Roman"/>
                <w:sz w:val="16"/>
                <w:szCs w:val="16"/>
              </w:rPr>
              <w:t xml:space="preserve"> files transferred to CNSAS</w:t>
            </w:r>
            <w:r w:rsidRPr="00196C49">
              <w:rPr>
                <w:rFonts w:ascii="Times New Roman" w:hAnsi="Times New Roman" w:cs="Times New Roman"/>
                <w:sz w:val="16"/>
                <w:szCs w:val="16"/>
              </w:rPr>
              <w:t xml:space="preserve"> from Romanian Intelligence Service</w:t>
            </w:r>
          </w:p>
        </w:tc>
        <w:tc>
          <w:tcPr>
            <w:tcW w:w="2036" w:type="dxa"/>
          </w:tcPr>
          <w:p w:rsidR="002044DC" w:rsidRPr="00196C49" w:rsidRDefault="002044DC" w:rsidP="009E5BA9">
            <w:pPr>
              <w:rPr>
                <w:rFonts w:ascii="Times New Roman" w:hAnsi="Times New Roman" w:cs="Times New Roman"/>
                <w:sz w:val="16"/>
                <w:szCs w:val="16"/>
              </w:rPr>
            </w:pP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1996</w:t>
            </w:r>
          </w:p>
        </w:tc>
        <w:tc>
          <w:tcPr>
            <w:tcW w:w="1711" w:type="dxa"/>
          </w:tcPr>
          <w:p w:rsidR="002044DC" w:rsidRPr="00196C49" w:rsidRDefault="002044DC" w:rsidP="009E5BA9">
            <w:pPr>
              <w:rPr>
                <w:rFonts w:ascii="Times New Roman" w:hAnsi="Times New Roman" w:cs="Times New Roman"/>
                <w:sz w:val="16"/>
                <w:szCs w:val="16"/>
              </w:rPr>
            </w:pPr>
          </w:p>
        </w:tc>
        <w:tc>
          <w:tcPr>
            <w:tcW w:w="2363" w:type="dxa"/>
          </w:tcPr>
          <w:p w:rsidR="002044DC" w:rsidRPr="0090083A" w:rsidRDefault="002044DC" w:rsidP="009E5BA9">
            <w:pPr>
              <w:rPr>
                <w:rFonts w:ascii="Times New Roman" w:hAnsi="Times New Roman" w:cs="Times New Roman"/>
                <w:i/>
                <w:sz w:val="16"/>
                <w:szCs w:val="16"/>
              </w:rPr>
            </w:pPr>
            <w:r w:rsidRPr="00196C49">
              <w:rPr>
                <w:rFonts w:ascii="Times New Roman" w:hAnsi="Times New Roman" w:cs="Times New Roman"/>
                <w:sz w:val="16"/>
                <w:szCs w:val="16"/>
              </w:rPr>
              <w:t xml:space="preserve">30% </w:t>
            </w:r>
            <w:r w:rsidRPr="000720D8">
              <w:rPr>
                <w:rFonts w:ascii="Times New Roman" w:eastAsia="Times New Roman" w:hAnsi="Times New Roman" w:cs="Times New Roman"/>
                <w:color w:val="000000"/>
                <w:sz w:val="16"/>
                <w:szCs w:val="16"/>
              </w:rPr>
              <w:t>Democratic Convention of Romania (</w:t>
            </w:r>
            <w:r w:rsidRPr="00196C49">
              <w:rPr>
                <w:rFonts w:ascii="Times New Roman" w:eastAsia="Times New Roman" w:hAnsi="Times New Roman" w:cs="Times New Roman"/>
                <w:color w:val="000000"/>
                <w:sz w:val="16"/>
                <w:szCs w:val="16"/>
              </w:rPr>
              <w:t>CDR</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center-right</w:t>
            </w:r>
            <w:r w:rsidRPr="0090083A">
              <w:rPr>
                <w:rFonts w:ascii="Times New Roman" w:eastAsia="Times New Roman" w:hAnsi="Times New Roman" w:cs="Times New Roman"/>
                <w:i/>
                <w:color w:val="000000"/>
                <w:sz w:val="16"/>
                <w:szCs w:val="16"/>
              </w:rPr>
              <w:t xml:space="preserve"> liberal</w:t>
            </w:r>
            <w:r>
              <w:rPr>
                <w:rFonts w:ascii="Times New Roman" w:eastAsia="Times New Roman" w:hAnsi="Times New Roman" w:cs="Times New Roman"/>
                <w:i/>
                <w:color w:val="000000"/>
                <w:sz w:val="16"/>
                <w:szCs w:val="16"/>
              </w:rPr>
              <w:t xml:space="preserve"> electoral alliance</w:t>
            </w:r>
          </w:p>
          <w:p w:rsidR="002044DC" w:rsidRPr="00196C49" w:rsidRDefault="002044DC" w:rsidP="009E5BA9">
            <w:pPr>
              <w:rPr>
                <w:rFonts w:ascii="Times New Roman" w:hAnsi="Times New Roman" w:cs="Times New Roman"/>
                <w:sz w:val="16"/>
                <w:szCs w:val="16"/>
              </w:rPr>
            </w:pPr>
          </w:p>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t xml:space="preserve">21.52%  </w:t>
            </w:r>
            <w:r w:rsidRPr="000720D8">
              <w:rPr>
                <w:rFonts w:ascii="Times New Roman" w:eastAsia="Times New Roman" w:hAnsi="Times New Roman" w:cs="Times New Roman"/>
                <w:color w:val="000000"/>
                <w:sz w:val="16"/>
                <w:szCs w:val="16"/>
              </w:rPr>
              <w:t>Social Democracy Party of Romania (</w:t>
            </w:r>
            <w:r w:rsidRPr="00196C49">
              <w:rPr>
                <w:rFonts w:ascii="Times New Roman" w:eastAsia="Times New Roman" w:hAnsi="Times New Roman" w:cs="Times New Roman"/>
                <w:color w:val="000000"/>
                <w:sz w:val="16"/>
                <w:szCs w:val="16"/>
              </w:rPr>
              <w:t>PDSR</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center-</w:t>
            </w:r>
            <w:r w:rsidRPr="0090083A">
              <w:rPr>
                <w:rFonts w:ascii="Times New Roman" w:eastAsia="Times New Roman" w:hAnsi="Times New Roman" w:cs="Times New Roman"/>
                <w:i/>
                <w:color w:val="000000"/>
                <w:sz w:val="16"/>
                <w:szCs w:val="16"/>
              </w:rPr>
              <w:t>left</w:t>
            </w:r>
          </w:p>
        </w:tc>
        <w:tc>
          <w:tcPr>
            <w:tcW w:w="70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2006</w:t>
            </w:r>
          </w:p>
        </w:tc>
        <w:tc>
          <w:tcPr>
            <w:tcW w:w="1932" w:type="dxa"/>
          </w:tcPr>
          <w:p w:rsidR="002044DC" w:rsidRPr="00196C49" w:rsidRDefault="002044DC" w:rsidP="009E5BA9">
            <w:pPr>
              <w:pStyle w:val="EndnoteText"/>
              <w:rPr>
                <w:sz w:val="16"/>
                <w:szCs w:val="16"/>
              </w:rPr>
            </w:pPr>
            <w:r w:rsidRPr="00196C49">
              <w:rPr>
                <w:sz w:val="16"/>
                <w:szCs w:val="16"/>
              </w:rPr>
              <w:t>Emergency Ordinance No. 16 modifies Law 187/1999 to fac</w:t>
            </w:r>
            <w:r>
              <w:rPr>
                <w:sz w:val="16"/>
                <w:szCs w:val="16"/>
              </w:rPr>
              <w:t>ilitate the work of the CNSA</w:t>
            </w:r>
            <w:r w:rsidRPr="00196C49">
              <w:rPr>
                <w:sz w:val="16"/>
                <w:szCs w:val="16"/>
              </w:rPr>
              <w:t>S.</w:t>
            </w:r>
          </w:p>
          <w:p w:rsidR="002044DC" w:rsidRPr="00196C49" w:rsidRDefault="002044DC" w:rsidP="009E5BA9">
            <w:pPr>
              <w:pStyle w:val="EndnoteText"/>
              <w:rPr>
                <w:sz w:val="16"/>
                <w:szCs w:val="16"/>
              </w:rPr>
            </w:pPr>
            <w:r w:rsidRPr="00196C49">
              <w:rPr>
                <w:sz w:val="16"/>
                <w:szCs w:val="16"/>
              </w:rPr>
              <w:t>Renewed lustration—270 collaborators revealed.</w:t>
            </w:r>
          </w:p>
        </w:tc>
        <w:tc>
          <w:tcPr>
            <w:tcW w:w="2036" w:type="dxa"/>
          </w:tcPr>
          <w:p w:rsidR="002044DC" w:rsidRPr="00196C49" w:rsidRDefault="002044DC" w:rsidP="009E5BA9">
            <w:pPr>
              <w:rPr>
                <w:rFonts w:ascii="Times New Roman" w:hAnsi="Times New Roman" w:cs="Times New Roman"/>
                <w:sz w:val="16"/>
                <w:szCs w:val="16"/>
              </w:rPr>
            </w:pP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1997</w:t>
            </w:r>
          </w:p>
        </w:tc>
        <w:tc>
          <w:tcPr>
            <w:tcW w:w="1711" w:type="dxa"/>
          </w:tcPr>
          <w:p w:rsidR="002044DC" w:rsidRPr="00003982" w:rsidRDefault="002044DC" w:rsidP="009E5BA9">
            <w:pPr>
              <w:pStyle w:val="EndnoteText"/>
              <w:rPr>
                <w:rStyle w:val="Emphasis"/>
                <w:bCs/>
                <w:i w:val="0"/>
                <w:iCs w:val="0"/>
                <w:sz w:val="16"/>
                <w:szCs w:val="16"/>
                <w:shd w:val="clear" w:color="auto" w:fill="FFFFFF"/>
              </w:rPr>
            </w:pPr>
            <w:r w:rsidRPr="00003982">
              <w:rPr>
                <w:rStyle w:val="Emphasis"/>
                <w:bCs/>
                <w:i w:val="0"/>
                <w:sz w:val="16"/>
                <w:szCs w:val="16"/>
                <w:shd w:val="clear" w:color="auto" w:fill="FFFFFF"/>
              </w:rPr>
              <w:t>President declares lustration over.</w:t>
            </w:r>
          </w:p>
          <w:p w:rsidR="002044DC" w:rsidRPr="00196C49" w:rsidRDefault="002044DC" w:rsidP="009E5BA9">
            <w:pPr>
              <w:rPr>
                <w:rFonts w:ascii="Times New Roman" w:hAnsi="Times New Roman" w:cs="Times New Roman"/>
                <w:sz w:val="16"/>
                <w:szCs w:val="16"/>
              </w:rPr>
            </w:pPr>
          </w:p>
        </w:tc>
        <w:tc>
          <w:tcPr>
            <w:tcW w:w="2363" w:type="dxa"/>
          </w:tcPr>
          <w:p w:rsidR="002044DC" w:rsidRPr="00196C49" w:rsidRDefault="002044DC" w:rsidP="009E5BA9">
            <w:pPr>
              <w:rPr>
                <w:rFonts w:ascii="Times New Roman" w:hAnsi="Times New Roman" w:cs="Times New Roman"/>
                <w:sz w:val="16"/>
                <w:szCs w:val="16"/>
              </w:rPr>
            </w:pPr>
          </w:p>
        </w:tc>
        <w:tc>
          <w:tcPr>
            <w:tcW w:w="70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2008</w:t>
            </w:r>
          </w:p>
        </w:tc>
        <w:tc>
          <w:tcPr>
            <w:tcW w:w="1932" w:type="dxa"/>
          </w:tcPr>
          <w:p w:rsidR="002044DC" w:rsidRPr="00196C49" w:rsidRDefault="002044DC" w:rsidP="009E5BA9">
            <w:pPr>
              <w:pStyle w:val="EndnoteText"/>
              <w:rPr>
                <w:sz w:val="16"/>
                <w:szCs w:val="16"/>
              </w:rPr>
            </w:pPr>
            <w:r>
              <w:rPr>
                <w:sz w:val="16"/>
                <w:szCs w:val="16"/>
              </w:rPr>
              <w:t>Constitutional Court Decision No. 51 declares</w:t>
            </w:r>
            <w:r w:rsidRPr="00196C49">
              <w:rPr>
                <w:sz w:val="16"/>
                <w:szCs w:val="16"/>
              </w:rPr>
              <w:t xml:space="preserve"> Law 187/1999 un</w:t>
            </w:r>
            <w:r>
              <w:rPr>
                <w:sz w:val="16"/>
                <w:szCs w:val="16"/>
              </w:rPr>
              <w:t>constitutional (31 January</w:t>
            </w:r>
            <w:r w:rsidRPr="00196C49">
              <w:rPr>
                <w:sz w:val="16"/>
                <w:szCs w:val="16"/>
              </w:rPr>
              <w:t>).</w:t>
            </w:r>
          </w:p>
          <w:p w:rsidR="002044DC" w:rsidRPr="00196C49" w:rsidRDefault="002044DC" w:rsidP="009E5BA9">
            <w:pPr>
              <w:rPr>
                <w:rFonts w:ascii="Times New Roman" w:hAnsi="Times New Roman" w:cs="Times New Roman"/>
                <w:sz w:val="16"/>
                <w:szCs w:val="16"/>
              </w:rPr>
            </w:pPr>
          </w:p>
        </w:tc>
        <w:tc>
          <w:tcPr>
            <w:tcW w:w="2036" w:type="dxa"/>
          </w:tcPr>
          <w:p w:rsidR="002044DC" w:rsidRPr="0090083A" w:rsidRDefault="002044DC" w:rsidP="009E5BA9">
            <w:pPr>
              <w:rPr>
                <w:rFonts w:ascii="Times New Roman" w:hAnsi="Times New Roman" w:cs="Times New Roman"/>
                <w:i/>
                <w:sz w:val="16"/>
                <w:szCs w:val="16"/>
              </w:rPr>
            </w:pPr>
            <w:r w:rsidRPr="00196C49">
              <w:rPr>
                <w:rFonts w:ascii="Times New Roman" w:hAnsi="Times New Roman" w:cs="Times New Roman"/>
                <w:sz w:val="16"/>
                <w:szCs w:val="16"/>
              </w:rPr>
              <w:t xml:space="preserve">33.10% </w:t>
            </w:r>
            <w:r w:rsidRPr="000720D8">
              <w:rPr>
                <w:rFonts w:ascii="Times New Roman" w:eastAsia="Times New Roman" w:hAnsi="Times New Roman" w:cs="Times New Roman"/>
                <w:color w:val="000000"/>
                <w:sz w:val="16"/>
                <w:szCs w:val="16"/>
              </w:rPr>
              <w:t>Alliance Social Democratic Party + Conservative Party (PSD+PC</w:t>
            </w:r>
            <w:r w:rsidRPr="00196C49">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center-left political alliance</w:t>
            </w:r>
          </w:p>
          <w:p w:rsidR="002044DC" w:rsidRPr="00196C49" w:rsidRDefault="002044DC" w:rsidP="009E5BA9">
            <w:pPr>
              <w:rPr>
                <w:rFonts w:ascii="Times New Roman" w:hAnsi="Times New Roman" w:cs="Times New Roman"/>
                <w:sz w:val="16"/>
                <w:szCs w:val="16"/>
              </w:rPr>
            </w:pPr>
          </w:p>
          <w:p w:rsidR="002044DC" w:rsidRPr="0090083A" w:rsidRDefault="002044DC" w:rsidP="009E5BA9">
            <w:pPr>
              <w:rPr>
                <w:rFonts w:ascii="Times New Roman" w:hAnsi="Times New Roman" w:cs="Times New Roman"/>
                <w:i/>
                <w:sz w:val="16"/>
                <w:szCs w:val="16"/>
              </w:rPr>
            </w:pPr>
            <w:r w:rsidRPr="00196C49">
              <w:rPr>
                <w:rFonts w:ascii="Times New Roman" w:hAnsi="Times New Roman" w:cs="Times New Roman"/>
                <w:sz w:val="16"/>
                <w:szCs w:val="16"/>
              </w:rPr>
              <w:t xml:space="preserve">32.36% </w:t>
            </w:r>
            <w:r>
              <w:rPr>
                <w:rFonts w:ascii="Times New Roman" w:eastAsia="Times New Roman" w:hAnsi="Times New Roman" w:cs="Times New Roman"/>
                <w:color w:val="000000"/>
                <w:sz w:val="16"/>
                <w:szCs w:val="16"/>
              </w:rPr>
              <w:t>Democratic Liberal Party (PDL</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center</w:t>
            </w: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1999</w:t>
            </w:r>
          </w:p>
        </w:tc>
        <w:tc>
          <w:tcPr>
            <w:tcW w:w="1711" w:type="dxa"/>
          </w:tcPr>
          <w:p w:rsidR="002044DC" w:rsidRPr="00196C49" w:rsidRDefault="002044DC" w:rsidP="009E5BA9">
            <w:pPr>
              <w:pStyle w:val="EndnoteText"/>
              <w:rPr>
                <w:sz w:val="16"/>
                <w:szCs w:val="16"/>
              </w:rPr>
            </w:pPr>
            <w:r w:rsidRPr="00196C49">
              <w:rPr>
                <w:sz w:val="16"/>
                <w:szCs w:val="16"/>
              </w:rPr>
              <w:t xml:space="preserve">Law 187/1999 </w:t>
            </w:r>
            <w:r>
              <w:rPr>
                <w:sz w:val="16"/>
                <w:szCs w:val="16"/>
              </w:rPr>
              <w:t>On</w:t>
            </w:r>
            <w:r w:rsidRPr="00196C49">
              <w:rPr>
                <w:sz w:val="16"/>
                <w:szCs w:val="16"/>
              </w:rPr>
              <w:t xml:space="preserve"> </w:t>
            </w:r>
            <w:r>
              <w:rPr>
                <w:sz w:val="16"/>
                <w:szCs w:val="16"/>
              </w:rPr>
              <w:t>Access to the Personal File and D</w:t>
            </w:r>
            <w:r w:rsidRPr="00196C49">
              <w:rPr>
                <w:sz w:val="16"/>
                <w:szCs w:val="16"/>
              </w:rPr>
              <w:t xml:space="preserve">isclosure of the </w:t>
            </w:r>
            <w:proofErr w:type="spellStart"/>
            <w:r>
              <w:rPr>
                <w:sz w:val="16"/>
                <w:szCs w:val="16"/>
              </w:rPr>
              <w:t>Securitate</w:t>
            </w:r>
            <w:proofErr w:type="spellEnd"/>
            <w:r>
              <w:rPr>
                <w:sz w:val="16"/>
                <w:szCs w:val="16"/>
              </w:rPr>
              <w:t xml:space="preserve"> as Political Police (</w:t>
            </w:r>
            <w:proofErr w:type="spellStart"/>
            <w:r w:rsidRPr="00196C49">
              <w:rPr>
                <w:sz w:val="16"/>
                <w:szCs w:val="16"/>
              </w:rPr>
              <w:t>Ticu</w:t>
            </w:r>
            <w:proofErr w:type="spellEnd"/>
            <w:r w:rsidRPr="00196C49">
              <w:rPr>
                <w:sz w:val="16"/>
                <w:szCs w:val="16"/>
              </w:rPr>
              <w:t xml:space="preserve"> Law</w:t>
            </w:r>
            <w:r>
              <w:rPr>
                <w:sz w:val="16"/>
                <w:szCs w:val="16"/>
              </w:rPr>
              <w:t>)</w:t>
            </w:r>
          </w:p>
          <w:p w:rsidR="002044DC" w:rsidRPr="00196C49" w:rsidRDefault="002044DC" w:rsidP="009E5BA9">
            <w:pPr>
              <w:pStyle w:val="EndnoteText"/>
              <w:rPr>
                <w:sz w:val="16"/>
                <w:szCs w:val="16"/>
              </w:rPr>
            </w:pPr>
          </w:p>
          <w:p w:rsidR="002044DC" w:rsidRPr="00196C49" w:rsidRDefault="002044DC" w:rsidP="009E5BA9">
            <w:pPr>
              <w:pStyle w:val="EndnoteText"/>
              <w:rPr>
                <w:sz w:val="16"/>
                <w:szCs w:val="16"/>
              </w:rPr>
            </w:pPr>
            <w:r w:rsidRPr="00196C49">
              <w:rPr>
                <w:sz w:val="16"/>
                <w:szCs w:val="16"/>
              </w:rPr>
              <w:t xml:space="preserve">Created </w:t>
            </w:r>
            <w:r>
              <w:rPr>
                <w:sz w:val="16"/>
                <w:szCs w:val="16"/>
              </w:rPr>
              <w:t>CNSAS</w:t>
            </w:r>
            <w:r w:rsidRPr="00196C49">
              <w:rPr>
                <w:sz w:val="16"/>
                <w:szCs w:val="16"/>
              </w:rPr>
              <w:t xml:space="preserve"> to oversee the files. </w:t>
            </w:r>
          </w:p>
        </w:tc>
        <w:tc>
          <w:tcPr>
            <w:tcW w:w="2363" w:type="dxa"/>
          </w:tcPr>
          <w:p w:rsidR="002044DC" w:rsidRPr="00196C49" w:rsidRDefault="002044DC" w:rsidP="009E5BA9">
            <w:pPr>
              <w:rPr>
                <w:rFonts w:ascii="Times New Roman" w:hAnsi="Times New Roman" w:cs="Times New Roman"/>
                <w:sz w:val="16"/>
                <w:szCs w:val="16"/>
              </w:rPr>
            </w:pPr>
          </w:p>
        </w:tc>
        <w:tc>
          <w:tcPr>
            <w:tcW w:w="709" w:type="dxa"/>
          </w:tcPr>
          <w:p w:rsidR="002044DC" w:rsidRDefault="002044DC" w:rsidP="009E5BA9">
            <w:pPr>
              <w:rPr>
                <w:rFonts w:ascii="Times New Roman" w:hAnsi="Times New Roman" w:cs="Times New Roman"/>
                <w:b/>
                <w:sz w:val="16"/>
                <w:szCs w:val="16"/>
              </w:rPr>
            </w:pPr>
          </w:p>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2009</w:t>
            </w:r>
          </w:p>
        </w:tc>
        <w:tc>
          <w:tcPr>
            <w:tcW w:w="1932" w:type="dxa"/>
          </w:tcPr>
          <w:p w:rsidR="002044DC" w:rsidRPr="00196C49" w:rsidRDefault="002044DC" w:rsidP="009E5BA9">
            <w:pPr>
              <w:pStyle w:val="EndnoteText"/>
              <w:rPr>
                <w:sz w:val="16"/>
                <w:szCs w:val="16"/>
              </w:rPr>
            </w:pPr>
            <w:r>
              <w:rPr>
                <w:sz w:val="16"/>
                <w:szCs w:val="16"/>
              </w:rPr>
              <w:t>CNSAS’s</w:t>
            </w:r>
            <w:r w:rsidRPr="00196C49">
              <w:rPr>
                <w:sz w:val="16"/>
                <w:szCs w:val="16"/>
              </w:rPr>
              <w:t xml:space="preserve"> power to issue collaboration </w:t>
            </w:r>
            <w:r>
              <w:rPr>
                <w:sz w:val="16"/>
                <w:szCs w:val="16"/>
              </w:rPr>
              <w:t>verdicts</w:t>
            </w:r>
            <w:r w:rsidRPr="00196C49">
              <w:rPr>
                <w:sz w:val="16"/>
                <w:szCs w:val="16"/>
              </w:rPr>
              <w:t xml:space="preserve"> taken away</w:t>
            </w:r>
          </w:p>
        </w:tc>
        <w:tc>
          <w:tcPr>
            <w:tcW w:w="2036" w:type="dxa"/>
          </w:tcPr>
          <w:p w:rsidR="002044DC" w:rsidRPr="00196C49" w:rsidRDefault="002044DC" w:rsidP="009E5BA9">
            <w:pPr>
              <w:rPr>
                <w:rFonts w:ascii="Times New Roman" w:hAnsi="Times New Roman" w:cs="Times New Roman"/>
                <w:sz w:val="16"/>
                <w:szCs w:val="16"/>
              </w:rPr>
            </w:pP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2000</w:t>
            </w:r>
          </w:p>
        </w:tc>
        <w:tc>
          <w:tcPr>
            <w:tcW w:w="1711" w:type="dxa"/>
          </w:tcPr>
          <w:p w:rsidR="002044DC" w:rsidRPr="00196C49" w:rsidRDefault="002044DC" w:rsidP="009E5BA9">
            <w:pPr>
              <w:rPr>
                <w:rFonts w:ascii="Times New Roman" w:hAnsi="Times New Roman" w:cs="Times New Roman"/>
                <w:sz w:val="16"/>
                <w:szCs w:val="16"/>
              </w:rPr>
            </w:pPr>
          </w:p>
        </w:tc>
        <w:tc>
          <w:tcPr>
            <w:tcW w:w="2363" w:type="dxa"/>
          </w:tcPr>
          <w:p w:rsidR="002044DC" w:rsidRPr="0090083A" w:rsidRDefault="002044DC" w:rsidP="009E5BA9">
            <w:pPr>
              <w:rPr>
                <w:rFonts w:ascii="Times New Roman" w:eastAsia="Times New Roman" w:hAnsi="Times New Roman" w:cs="Times New Roman"/>
                <w:i/>
                <w:color w:val="000000"/>
                <w:sz w:val="16"/>
                <w:szCs w:val="16"/>
              </w:rPr>
            </w:pPr>
            <w:r w:rsidRPr="00196C49">
              <w:rPr>
                <w:rFonts w:ascii="Times New Roman" w:hAnsi="Times New Roman" w:cs="Times New Roman"/>
                <w:sz w:val="16"/>
                <w:szCs w:val="16"/>
              </w:rPr>
              <w:t xml:space="preserve">36.61% </w:t>
            </w:r>
            <w:r w:rsidRPr="000720D8">
              <w:rPr>
                <w:rFonts w:ascii="Times New Roman" w:eastAsia="Times New Roman" w:hAnsi="Times New Roman" w:cs="Times New Roman"/>
                <w:color w:val="000000"/>
                <w:sz w:val="16"/>
                <w:szCs w:val="16"/>
              </w:rPr>
              <w:t>Social Democracy Party of Romania</w:t>
            </w:r>
            <w:r w:rsidRPr="00196C49">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Pr="00196C49">
              <w:rPr>
                <w:rFonts w:ascii="Times New Roman" w:eastAsia="Times New Roman" w:hAnsi="Times New Roman" w:cs="Times New Roman"/>
                <w:color w:val="000000"/>
                <w:sz w:val="16"/>
                <w:szCs w:val="16"/>
              </w:rPr>
              <w:t>PDSR</w:t>
            </w: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center-left</w:t>
            </w:r>
          </w:p>
          <w:p w:rsidR="002044DC" w:rsidRPr="00196C49" w:rsidRDefault="002044DC" w:rsidP="009E5BA9">
            <w:pPr>
              <w:rPr>
                <w:rFonts w:ascii="Times New Roman" w:hAnsi="Times New Roman" w:cs="Times New Roman"/>
                <w:sz w:val="16"/>
                <w:szCs w:val="16"/>
              </w:rPr>
            </w:pPr>
          </w:p>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lastRenderedPageBreak/>
              <w:t xml:space="preserve">19.48% </w:t>
            </w:r>
            <w:r w:rsidRPr="000720D8">
              <w:rPr>
                <w:rFonts w:ascii="Times New Roman" w:eastAsia="Times New Roman" w:hAnsi="Times New Roman" w:cs="Times New Roman"/>
                <w:color w:val="000000"/>
                <w:sz w:val="16"/>
                <w:szCs w:val="16"/>
              </w:rPr>
              <w:t>Greater Romania Party (</w:t>
            </w:r>
            <w:r>
              <w:rPr>
                <w:rFonts w:ascii="Times New Roman" w:eastAsia="Times New Roman" w:hAnsi="Times New Roman" w:cs="Times New Roman"/>
                <w:color w:val="000000"/>
                <w:sz w:val="16"/>
                <w:szCs w:val="16"/>
              </w:rPr>
              <w:t>PRM</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sidRPr="0090083A">
              <w:rPr>
                <w:rFonts w:ascii="Times New Roman" w:eastAsia="Times New Roman" w:hAnsi="Times New Roman" w:cs="Times New Roman"/>
                <w:i/>
                <w:color w:val="000000"/>
                <w:sz w:val="16"/>
                <w:szCs w:val="16"/>
              </w:rPr>
              <w:t>nationalist</w:t>
            </w:r>
          </w:p>
        </w:tc>
        <w:tc>
          <w:tcPr>
            <w:tcW w:w="709" w:type="dxa"/>
          </w:tcPr>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2012</w:t>
            </w:r>
          </w:p>
        </w:tc>
        <w:tc>
          <w:tcPr>
            <w:tcW w:w="1932" w:type="dxa"/>
          </w:tcPr>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t xml:space="preserve">2012 lustration law initiative declared unconstitutional </w:t>
            </w:r>
          </w:p>
          <w:p w:rsidR="002044DC" w:rsidRPr="00196C49" w:rsidRDefault="002044DC" w:rsidP="009E5BA9">
            <w:pPr>
              <w:rPr>
                <w:rFonts w:ascii="Times New Roman" w:hAnsi="Times New Roman" w:cs="Times New Roman"/>
                <w:sz w:val="16"/>
                <w:szCs w:val="16"/>
              </w:rPr>
            </w:pPr>
          </w:p>
        </w:tc>
        <w:tc>
          <w:tcPr>
            <w:tcW w:w="2036" w:type="dxa"/>
          </w:tcPr>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lastRenderedPageBreak/>
              <w:t xml:space="preserve">58.63% </w:t>
            </w:r>
            <w:r w:rsidRPr="000720D8">
              <w:rPr>
                <w:rFonts w:ascii="Times New Roman" w:eastAsia="Times New Roman" w:hAnsi="Times New Roman" w:cs="Times New Roman"/>
                <w:color w:val="000000"/>
                <w:sz w:val="16"/>
                <w:szCs w:val="16"/>
              </w:rPr>
              <w:t>Social Liberal Union (</w:t>
            </w:r>
            <w:r>
              <w:rPr>
                <w:rFonts w:ascii="Times New Roman" w:eastAsia="Times New Roman" w:hAnsi="Times New Roman" w:cs="Times New Roman"/>
                <w:color w:val="000000"/>
                <w:sz w:val="16"/>
                <w:szCs w:val="16"/>
              </w:rPr>
              <w:t>US</w:t>
            </w:r>
            <w:r w:rsidRPr="000720D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Pr>
                <w:rFonts w:ascii="Times New Roman" w:eastAsia="Times New Roman" w:hAnsi="Times New Roman" w:cs="Times New Roman"/>
                <w:i/>
                <w:color w:val="000000"/>
                <w:sz w:val="16"/>
                <w:szCs w:val="16"/>
              </w:rPr>
              <w:t>coalition of center-right and center-</w:t>
            </w:r>
            <w:r w:rsidRPr="0090083A">
              <w:rPr>
                <w:rFonts w:ascii="Times New Roman" w:eastAsia="Times New Roman" w:hAnsi="Times New Roman" w:cs="Times New Roman"/>
                <w:i/>
                <w:color w:val="000000"/>
                <w:sz w:val="16"/>
                <w:szCs w:val="16"/>
              </w:rPr>
              <w:t xml:space="preserve">left </w:t>
            </w:r>
            <w:r w:rsidRPr="0090083A">
              <w:rPr>
                <w:rFonts w:ascii="Times New Roman" w:eastAsia="Times New Roman" w:hAnsi="Times New Roman" w:cs="Times New Roman"/>
                <w:i/>
                <w:color w:val="000000"/>
                <w:sz w:val="16"/>
                <w:szCs w:val="16"/>
              </w:rPr>
              <w:lastRenderedPageBreak/>
              <w:t>parties</w:t>
            </w:r>
          </w:p>
        </w:tc>
      </w:tr>
      <w:tr w:rsidR="002044DC" w:rsidRPr="00FA7C05" w:rsidTr="009E5BA9">
        <w:tc>
          <w:tcPr>
            <w:tcW w:w="599" w:type="dxa"/>
          </w:tcPr>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2001</w:t>
            </w:r>
          </w:p>
        </w:tc>
        <w:tc>
          <w:tcPr>
            <w:tcW w:w="1711" w:type="dxa"/>
          </w:tcPr>
          <w:p w:rsidR="002044DC" w:rsidRPr="00196C49" w:rsidRDefault="002044DC" w:rsidP="009E5BA9">
            <w:pPr>
              <w:pStyle w:val="EndnoteText"/>
              <w:rPr>
                <w:sz w:val="16"/>
                <w:szCs w:val="16"/>
              </w:rPr>
            </w:pPr>
            <w:r>
              <w:rPr>
                <w:sz w:val="16"/>
                <w:szCs w:val="16"/>
              </w:rPr>
              <w:t>Limited CNSAS activity</w:t>
            </w:r>
            <w:r w:rsidRPr="00196C49">
              <w:rPr>
                <w:sz w:val="16"/>
                <w:szCs w:val="16"/>
              </w:rPr>
              <w:t xml:space="preserve">. </w:t>
            </w:r>
            <w:proofErr w:type="gramStart"/>
            <w:r w:rsidRPr="00196C49">
              <w:rPr>
                <w:sz w:val="16"/>
                <w:szCs w:val="16"/>
              </w:rPr>
              <w:t>70 collaborators revealed, 38 candidates resign.</w:t>
            </w:r>
            <w:proofErr w:type="gramEnd"/>
            <w:r w:rsidRPr="00196C49">
              <w:rPr>
                <w:sz w:val="16"/>
                <w:szCs w:val="16"/>
              </w:rPr>
              <w:t xml:space="preserve">  </w:t>
            </w:r>
          </w:p>
        </w:tc>
        <w:tc>
          <w:tcPr>
            <w:tcW w:w="2363" w:type="dxa"/>
          </w:tcPr>
          <w:p w:rsidR="002044DC" w:rsidRPr="00196C49" w:rsidRDefault="002044DC" w:rsidP="009E5BA9">
            <w:pPr>
              <w:rPr>
                <w:rFonts w:ascii="Times New Roman" w:hAnsi="Times New Roman" w:cs="Times New Roman"/>
                <w:sz w:val="16"/>
                <w:szCs w:val="16"/>
              </w:rPr>
            </w:pPr>
          </w:p>
        </w:tc>
        <w:tc>
          <w:tcPr>
            <w:tcW w:w="709" w:type="dxa"/>
          </w:tcPr>
          <w:p w:rsidR="002044DC" w:rsidRDefault="002044DC" w:rsidP="009E5BA9">
            <w:pPr>
              <w:rPr>
                <w:rFonts w:ascii="Times New Roman" w:hAnsi="Times New Roman" w:cs="Times New Roman"/>
                <w:b/>
                <w:sz w:val="16"/>
                <w:szCs w:val="16"/>
              </w:rPr>
            </w:pPr>
          </w:p>
          <w:p w:rsidR="002044DC" w:rsidRPr="0023590C" w:rsidRDefault="002044DC" w:rsidP="009E5BA9">
            <w:pPr>
              <w:rPr>
                <w:rFonts w:ascii="Times New Roman" w:hAnsi="Times New Roman" w:cs="Times New Roman"/>
                <w:b/>
                <w:sz w:val="16"/>
                <w:szCs w:val="16"/>
              </w:rPr>
            </w:pPr>
            <w:r w:rsidRPr="0023590C">
              <w:rPr>
                <w:rFonts w:ascii="Times New Roman" w:hAnsi="Times New Roman" w:cs="Times New Roman"/>
                <w:b/>
                <w:sz w:val="16"/>
                <w:szCs w:val="16"/>
              </w:rPr>
              <w:t>2016</w:t>
            </w:r>
          </w:p>
        </w:tc>
        <w:tc>
          <w:tcPr>
            <w:tcW w:w="1932" w:type="dxa"/>
          </w:tcPr>
          <w:p w:rsidR="002044DC" w:rsidRPr="00196C49" w:rsidRDefault="002044DC" w:rsidP="009E5BA9">
            <w:pPr>
              <w:rPr>
                <w:rFonts w:ascii="Times New Roman" w:hAnsi="Times New Roman" w:cs="Times New Roman"/>
                <w:sz w:val="16"/>
                <w:szCs w:val="16"/>
              </w:rPr>
            </w:pPr>
            <w:r>
              <w:rPr>
                <w:rFonts w:ascii="Times New Roman" w:hAnsi="Times New Roman" w:cs="Times New Roman"/>
                <w:sz w:val="16"/>
                <w:szCs w:val="16"/>
              </w:rPr>
              <w:t>CNSAS</w:t>
            </w:r>
            <w:r w:rsidRPr="00196C49">
              <w:rPr>
                <w:rFonts w:ascii="Times New Roman" w:hAnsi="Times New Roman" w:cs="Times New Roman"/>
                <w:sz w:val="16"/>
                <w:szCs w:val="16"/>
              </w:rPr>
              <w:t xml:space="preserve"> continues public disclosures</w:t>
            </w:r>
          </w:p>
        </w:tc>
        <w:tc>
          <w:tcPr>
            <w:tcW w:w="2036" w:type="dxa"/>
          </w:tcPr>
          <w:p w:rsidR="002044DC" w:rsidRPr="00196C49" w:rsidRDefault="002044DC" w:rsidP="009E5BA9">
            <w:pPr>
              <w:rPr>
                <w:rFonts w:ascii="Times New Roman" w:hAnsi="Times New Roman" w:cs="Times New Roman"/>
                <w:sz w:val="16"/>
                <w:szCs w:val="16"/>
              </w:rPr>
            </w:pPr>
            <w:r w:rsidRPr="00196C49">
              <w:rPr>
                <w:rFonts w:ascii="Times New Roman" w:hAnsi="Times New Roman" w:cs="Times New Roman"/>
                <w:sz w:val="16"/>
                <w:szCs w:val="16"/>
              </w:rPr>
              <w:t xml:space="preserve">Elections </w:t>
            </w:r>
            <w:r>
              <w:rPr>
                <w:rFonts w:ascii="Times New Roman" w:hAnsi="Times New Roman" w:cs="Times New Roman"/>
                <w:sz w:val="16"/>
                <w:szCs w:val="16"/>
              </w:rPr>
              <w:t xml:space="preserve">organized </w:t>
            </w:r>
            <w:r w:rsidRPr="00196C49">
              <w:rPr>
                <w:rFonts w:ascii="Times New Roman" w:hAnsi="Times New Roman" w:cs="Times New Roman"/>
                <w:sz w:val="16"/>
                <w:szCs w:val="16"/>
              </w:rPr>
              <w:t>in Fall</w:t>
            </w:r>
          </w:p>
        </w:tc>
      </w:tr>
    </w:tbl>
    <w:p w:rsidR="002044DC" w:rsidRPr="00095572" w:rsidRDefault="002044DC" w:rsidP="002044DC">
      <w:pPr>
        <w:spacing w:after="0" w:line="240" w:lineRule="auto"/>
        <w:rPr>
          <w:rFonts w:ascii="Times New Roman" w:hAnsi="Times New Roman" w:cs="Times New Roman"/>
          <w:sz w:val="24"/>
          <w:szCs w:val="24"/>
        </w:rPr>
      </w:pPr>
      <w:r w:rsidRPr="006E260C">
        <w:rPr>
          <w:rFonts w:ascii="Times New Roman" w:hAnsi="Times New Roman" w:cs="Times New Roman"/>
          <w:sz w:val="18"/>
          <w:szCs w:val="18"/>
        </w:rPr>
        <w:t xml:space="preserve">Sources: </w:t>
      </w:r>
      <w:r>
        <w:rPr>
          <w:rFonts w:ascii="Times New Roman" w:hAnsi="Times New Roman" w:cs="Times New Roman"/>
          <w:sz w:val="18"/>
          <w:szCs w:val="18"/>
        </w:rPr>
        <w:t xml:space="preserve">For party information, </w:t>
      </w:r>
      <w:r w:rsidRPr="006E260C">
        <w:rPr>
          <w:rFonts w:ascii="Times New Roman" w:hAnsi="Times New Roman" w:cs="Times New Roman"/>
          <w:sz w:val="18"/>
          <w:szCs w:val="18"/>
        </w:rPr>
        <w:t xml:space="preserve">European Elections Database, </w:t>
      </w:r>
      <w:r>
        <w:rPr>
          <w:rFonts w:ascii="Times New Roman" w:hAnsi="Times New Roman" w:cs="Times New Roman"/>
          <w:sz w:val="18"/>
          <w:szCs w:val="18"/>
        </w:rPr>
        <w:t xml:space="preserve">available at: </w:t>
      </w:r>
      <w:r w:rsidRPr="003D4A64">
        <w:rPr>
          <w:rFonts w:ascii="Times New Roman" w:eastAsia="Times New Roman" w:hAnsi="Times New Roman" w:cs="Times New Roman"/>
          <w:sz w:val="18"/>
          <w:szCs w:val="18"/>
        </w:rPr>
        <w:t>http://www.nsd.uib.no/european_election_database/country/romania/parties.html</w:t>
      </w:r>
      <w:r>
        <w:rPr>
          <w:rFonts w:ascii="Times New Roman" w:eastAsia="Times New Roman" w:hAnsi="Times New Roman" w:cs="Times New Roman"/>
          <w:color w:val="000000"/>
          <w:sz w:val="18"/>
          <w:szCs w:val="18"/>
        </w:rPr>
        <w:t>, accessed on 15 September 2016</w:t>
      </w: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r>
        <w:rPr>
          <w:rFonts w:ascii="Times New Roman" w:hAnsi="Times New Roman" w:cs="Times New Roman"/>
          <w:b/>
          <w:sz w:val="24"/>
          <w:szCs w:val="24"/>
        </w:rPr>
        <w:br w:type="page"/>
      </w:r>
    </w:p>
    <w:p w:rsidR="002044DC" w:rsidRPr="00D86CF8" w:rsidRDefault="002044DC" w:rsidP="002044DC">
      <w:pPr>
        <w:rPr>
          <w:rFonts w:ascii="Times New Roman" w:hAnsi="Times New Roman" w:cs="Times New Roman"/>
          <w:sz w:val="24"/>
          <w:szCs w:val="24"/>
        </w:rPr>
      </w:pPr>
      <w:r>
        <w:rPr>
          <w:rFonts w:ascii="Times New Roman" w:hAnsi="Times New Roman" w:cs="Times New Roman"/>
          <w:b/>
          <w:sz w:val="24"/>
          <w:szCs w:val="24"/>
        </w:rPr>
        <w:lastRenderedPageBreak/>
        <w:t>Figure 3.1: T</w:t>
      </w:r>
      <w:r w:rsidRPr="006C12BA">
        <w:rPr>
          <w:rFonts w:ascii="Times New Roman" w:hAnsi="Times New Roman" w:cs="Times New Roman"/>
          <w:b/>
          <w:sz w:val="24"/>
          <w:szCs w:val="24"/>
        </w:rPr>
        <w:t xml:space="preserve">rust </w:t>
      </w:r>
      <w:r>
        <w:rPr>
          <w:rFonts w:ascii="Times New Roman" w:hAnsi="Times New Roman" w:cs="Times New Roman"/>
          <w:b/>
          <w:sz w:val="24"/>
          <w:szCs w:val="24"/>
        </w:rPr>
        <w:t>in the Judiciary</w:t>
      </w:r>
    </w:p>
    <w:p w:rsidR="002044DC" w:rsidRPr="00E6744D" w:rsidRDefault="002044DC" w:rsidP="002044DC">
      <w:r w:rsidRPr="00181FB2">
        <w:rPr>
          <w:noProof/>
        </w:rPr>
        <w:drawing>
          <wp:inline distT="0" distB="0" distL="0" distR="0">
            <wp:extent cx="5819736" cy="3293458"/>
            <wp:effectExtent l="19050" t="0" r="9564" b="219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r>
        <w:rPr>
          <w:rFonts w:ascii="Times New Roman" w:hAnsi="Times New Roman" w:cs="Times New Roman"/>
          <w:b/>
          <w:sz w:val="24"/>
          <w:szCs w:val="24"/>
        </w:rPr>
        <w:br w:type="page"/>
      </w:r>
    </w:p>
    <w:p w:rsidR="002044DC" w:rsidRPr="00150985" w:rsidRDefault="002044DC" w:rsidP="002044DC">
      <w:pPr>
        <w:rPr>
          <w:rFonts w:ascii="Times New Roman" w:hAnsi="Times New Roman" w:cs="Times New Roman"/>
          <w:b/>
          <w:sz w:val="24"/>
          <w:szCs w:val="24"/>
        </w:rPr>
      </w:pPr>
      <w:r w:rsidRPr="00150985">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150985">
        <w:rPr>
          <w:rFonts w:ascii="Times New Roman" w:hAnsi="Times New Roman" w:cs="Times New Roman"/>
          <w:b/>
          <w:sz w:val="24"/>
          <w:szCs w:val="24"/>
        </w:rPr>
        <w:t>2: Trust in the Press</w:t>
      </w:r>
    </w:p>
    <w:p w:rsidR="002044DC" w:rsidRPr="00A9224F" w:rsidRDefault="002044DC" w:rsidP="002044DC">
      <w:r w:rsidRPr="009E0F5E">
        <w:rPr>
          <w:noProof/>
        </w:rPr>
        <w:drawing>
          <wp:inline distT="0" distB="0" distL="0" distR="0">
            <wp:extent cx="5905101" cy="3212538"/>
            <wp:effectExtent l="19050" t="0" r="19449" b="6912"/>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44DC" w:rsidRDefault="002044DC" w:rsidP="002044DC">
      <w:pPr>
        <w:spacing w:after="0" w:line="480" w:lineRule="auto"/>
        <w:rPr>
          <w:rFonts w:ascii="Times New Roman" w:hAnsi="Times New Roman" w:cs="Times New Roman"/>
          <w:sz w:val="24"/>
          <w:szCs w:val="24"/>
        </w:rPr>
      </w:pPr>
    </w:p>
    <w:p w:rsidR="002044DC" w:rsidRDefault="002044DC" w:rsidP="002044DC">
      <w:pPr>
        <w:rPr>
          <w:rFonts w:ascii="Times New Roman" w:hAnsi="Times New Roman" w:cs="Times New Roman"/>
          <w:b/>
          <w:sz w:val="24"/>
          <w:szCs w:val="24"/>
        </w:rPr>
      </w:pPr>
      <w:r>
        <w:rPr>
          <w:rFonts w:ascii="Times New Roman" w:hAnsi="Times New Roman" w:cs="Times New Roman"/>
          <w:b/>
          <w:sz w:val="24"/>
          <w:szCs w:val="24"/>
        </w:rPr>
        <w:br w:type="page"/>
      </w:r>
    </w:p>
    <w:p w:rsidR="002044DC" w:rsidRPr="00150985" w:rsidRDefault="002044DC" w:rsidP="002044DC">
      <w:pPr>
        <w:rPr>
          <w:rFonts w:ascii="Times New Roman" w:hAnsi="Times New Roman" w:cs="Times New Roman"/>
          <w:b/>
          <w:sz w:val="24"/>
          <w:szCs w:val="24"/>
        </w:rPr>
      </w:pPr>
      <w:r w:rsidRPr="00150985">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150985">
        <w:rPr>
          <w:rFonts w:ascii="Times New Roman" w:hAnsi="Times New Roman" w:cs="Times New Roman"/>
          <w:b/>
          <w:sz w:val="24"/>
          <w:szCs w:val="24"/>
        </w:rPr>
        <w:t>3: Trust in Parliament</w:t>
      </w:r>
    </w:p>
    <w:p w:rsidR="002044DC" w:rsidRPr="00C44E55" w:rsidRDefault="002044DC" w:rsidP="002044DC">
      <w:r w:rsidRPr="009E0F5E">
        <w:rPr>
          <w:noProof/>
        </w:rPr>
        <w:drawing>
          <wp:inline distT="0" distB="0" distL="0" distR="0">
            <wp:extent cx="5896228" cy="3050697"/>
            <wp:effectExtent l="19050" t="0" r="28322"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44DC" w:rsidRDefault="002044DC" w:rsidP="002044DC">
      <w:pPr>
        <w:rPr>
          <w:rFonts w:ascii="Times New Roman" w:hAnsi="Times New Roman" w:cs="Times New Roman"/>
          <w:b/>
          <w:sz w:val="24"/>
          <w:szCs w:val="24"/>
        </w:rPr>
      </w:pPr>
      <w:r>
        <w:rPr>
          <w:rFonts w:ascii="Times New Roman" w:hAnsi="Times New Roman" w:cs="Times New Roman"/>
          <w:b/>
          <w:sz w:val="24"/>
          <w:szCs w:val="24"/>
        </w:rPr>
        <w:br w:type="page"/>
      </w:r>
    </w:p>
    <w:p w:rsidR="002044DC" w:rsidRPr="00150985" w:rsidRDefault="002044DC" w:rsidP="002044DC">
      <w:pPr>
        <w:tabs>
          <w:tab w:val="left" w:pos="180"/>
        </w:tabs>
        <w:rPr>
          <w:rFonts w:ascii="Times New Roman" w:hAnsi="Times New Roman" w:cs="Times New Roman"/>
          <w:b/>
          <w:sz w:val="24"/>
          <w:szCs w:val="24"/>
        </w:rPr>
      </w:pPr>
      <w:r w:rsidRPr="00150985">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150985">
        <w:rPr>
          <w:rFonts w:ascii="Times New Roman" w:hAnsi="Times New Roman" w:cs="Times New Roman"/>
          <w:b/>
          <w:sz w:val="24"/>
          <w:szCs w:val="24"/>
        </w:rPr>
        <w:t>4: Trust in the Police</w:t>
      </w:r>
    </w:p>
    <w:p w:rsidR="002044DC" w:rsidRDefault="002044DC" w:rsidP="002044DC">
      <w:r w:rsidRPr="009E0F5E">
        <w:rPr>
          <w:noProof/>
        </w:rPr>
        <w:drawing>
          <wp:inline distT="0" distB="0" distL="0" distR="0">
            <wp:extent cx="5900656" cy="3236814"/>
            <wp:effectExtent l="19050" t="0" r="23894" b="1686"/>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44DC" w:rsidRDefault="002044DC" w:rsidP="002044DC">
      <w:pPr>
        <w:tabs>
          <w:tab w:val="left" w:pos="1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044DC" w:rsidRDefault="002044DC" w:rsidP="002044DC">
      <w:pPr>
        <w:rPr>
          <w:rFonts w:ascii="Times New Roman" w:hAnsi="Times New Roman" w:cs="Times New Roman"/>
          <w:sz w:val="24"/>
          <w:szCs w:val="24"/>
        </w:rPr>
      </w:pPr>
      <w:r>
        <w:rPr>
          <w:rFonts w:ascii="Times New Roman" w:hAnsi="Times New Roman" w:cs="Times New Roman"/>
          <w:sz w:val="24"/>
          <w:szCs w:val="24"/>
        </w:rPr>
        <w:br w:type="page"/>
      </w:r>
    </w:p>
    <w:bookmarkStart w:id="1" w:name="_MON_1535723682"/>
    <w:bookmarkEnd w:id="1"/>
    <w:p w:rsidR="002044DC" w:rsidRDefault="002044DC" w:rsidP="002044DC">
      <w:pPr>
        <w:tabs>
          <w:tab w:val="left" w:pos="180"/>
        </w:tabs>
        <w:spacing w:after="0" w:line="480" w:lineRule="auto"/>
        <w:rPr>
          <w:rFonts w:ascii="Times New Roman" w:hAnsi="Times New Roman" w:cs="Times New Roman"/>
          <w:b/>
          <w:sz w:val="24"/>
          <w:szCs w:val="24"/>
        </w:rPr>
      </w:pPr>
      <w:r w:rsidRPr="003F30CA">
        <w:rPr>
          <w:rFonts w:ascii="Times New Roman" w:hAnsi="Times New Roman" w:cs="Times New Roman"/>
          <w:sz w:val="24"/>
          <w:szCs w:val="24"/>
        </w:rPr>
        <w:object w:dxaOrig="11205" w:dyaOrig="6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7.25pt" o:ole="">
            <v:imagedata r:id="rId10" o:title=""/>
          </v:shape>
          <o:OLEObject Type="Embed" ProgID="Excel.Sheet.12" ShapeID="_x0000_i1025" DrawAspect="Content" ObjectID="_1537769547" r:id="rId11"/>
        </w:object>
      </w:r>
      <w:r>
        <w:rPr>
          <w:rFonts w:ascii="Times New Roman" w:hAnsi="Times New Roman" w:cs="Times New Roman"/>
          <w:b/>
          <w:sz w:val="24"/>
          <w:szCs w:val="24"/>
        </w:rPr>
        <w:tab/>
      </w:r>
      <w:r>
        <w:rPr>
          <w:rFonts w:ascii="Times New Roman" w:hAnsi="Times New Roman" w:cs="Times New Roman"/>
          <w:b/>
          <w:sz w:val="24"/>
          <w:szCs w:val="24"/>
        </w:rPr>
        <w:tab/>
      </w:r>
    </w:p>
    <w:p w:rsidR="002044DC" w:rsidRDefault="002044DC" w:rsidP="002044DC">
      <w:pPr>
        <w:rPr>
          <w:rFonts w:ascii="Times New Roman" w:hAnsi="Times New Roman" w:cs="Times New Roman"/>
          <w:b/>
          <w:sz w:val="24"/>
          <w:szCs w:val="24"/>
        </w:rPr>
      </w:pPr>
    </w:p>
    <w:p w:rsidR="002044DC" w:rsidRDefault="002044DC" w:rsidP="002044DC">
      <w:pPr>
        <w:rPr>
          <w:rFonts w:ascii="Times New Roman" w:hAnsi="Times New Roman" w:cs="Times New Roman"/>
          <w:b/>
          <w:sz w:val="24"/>
          <w:szCs w:val="24"/>
        </w:rPr>
      </w:pPr>
      <w:r>
        <w:rPr>
          <w:rFonts w:ascii="Times New Roman" w:hAnsi="Times New Roman" w:cs="Times New Roman"/>
          <w:b/>
          <w:sz w:val="24"/>
          <w:szCs w:val="24"/>
        </w:rPr>
        <w:br w:type="page"/>
      </w:r>
    </w:p>
    <w:p w:rsidR="002044DC" w:rsidRPr="00150985" w:rsidRDefault="002044DC" w:rsidP="002044DC">
      <w:pPr>
        <w:spacing w:after="0" w:line="480" w:lineRule="auto"/>
        <w:rPr>
          <w:rFonts w:ascii="Times New Roman" w:hAnsi="Times New Roman" w:cs="Times New Roman"/>
          <w:b/>
          <w:sz w:val="24"/>
          <w:szCs w:val="24"/>
        </w:rPr>
      </w:pPr>
      <w:r w:rsidRPr="00150985">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150985">
        <w:rPr>
          <w:rFonts w:ascii="Times New Roman" w:hAnsi="Times New Roman" w:cs="Times New Roman"/>
          <w:b/>
          <w:sz w:val="24"/>
          <w:szCs w:val="24"/>
        </w:rPr>
        <w:t xml:space="preserve">5: Comparative Corruption Measures </w:t>
      </w:r>
    </w:p>
    <w:p w:rsidR="002044DC" w:rsidRDefault="002044DC" w:rsidP="002044DC">
      <w:pPr>
        <w:spacing w:after="0" w:line="480" w:lineRule="auto"/>
        <w:ind w:firstLine="720"/>
        <w:rPr>
          <w:rFonts w:ascii="Times New Roman" w:hAnsi="Times New Roman" w:cs="Times New Roman"/>
          <w:sz w:val="24"/>
          <w:szCs w:val="24"/>
        </w:rPr>
      </w:pPr>
      <w:r>
        <w:rPr>
          <w:noProof/>
        </w:rPr>
        <w:drawing>
          <wp:inline distT="0" distB="0" distL="0" distR="0">
            <wp:extent cx="5108448" cy="3291840"/>
            <wp:effectExtent l="19050" t="0" r="16002" b="381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4DC" w:rsidRDefault="002044DC" w:rsidP="002044DC">
      <w:pPr>
        <w:spacing w:after="0" w:line="480" w:lineRule="auto"/>
        <w:rPr>
          <w:rFonts w:ascii="Times New Roman" w:hAnsi="Times New Roman" w:cs="Times New Roman"/>
          <w:sz w:val="24"/>
          <w:szCs w:val="24"/>
        </w:rPr>
      </w:pPr>
    </w:p>
    <w:p w:rsidR="002044DC" w:rsidRDefault="002044DC" w:rsidP="002044DC">
      <w:pPr>
        <w:rPr>
          <w:rFonts w:ascii="Times New Roman" w:hAnsi="Times New Roman" w:cs="Times New Roman"/>
          <w:sz w:val="24"/>
          <w:szCs w:val="24"/>
        </w:rPr>
      </w:pPr>
      <w:r>
        <w:rPr>
          <w:rFonts w:ascii="Times New Roman" w:hAnsi="Times New Roman" w:cs="Times New Roman"/>
          <w:sz w:val="24"/>
          <w:szCs w:val="24"/>
        </w:rPr>
        <w:br w:type="page"/>
      </w:r>
    </w:p>
    <w:p w:rsidR="002044DC" w:rsidRPr="00150985" w:rsidRDefault="002044DC" w:rsidP="002044DC">
      <w:pPr>
        <w:spacing w:after="0" w:line="480" w:lineRule="auto"/>
        <w:rPr>
          <w:rFonts w:ascii="Times New Roman" w:hAnsi="Times New Roman" w:cs="Times New Roman"/>
          <w:b/>
          <w:sz w:val="24"/>
          <w:szCs w:val="24"/>
        </w:rPr>
      </w:pPr>
      <w:r w:rsidRPr="00150985">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150985">
        <w:rPr>
          <w:rFonts w:ascii="Times New Roman" w:hAnsi="Times New Roman" w:cs="Times New Roman"/>
          <w:b/>
          <w:sz w:val="24"/>
          <w:szCs w:val="24"/>
        </w:rPr>
        <w:t>6: Comparative Democracy Measures</w:t>
      </w:r>
    </w:p>
    <w:p w:rsidR="002044DC" w:rsidRDefault="002044DC" w:rsidP="002044DC">
      <w:pPr>
        <w:spacing w:after="0" w:line="480" w:lineRule="auto"/>
        <w:ind w:firstLine="720"/>
        <w:rPr>
          <w:rFonts w:ascii="Times New Roman" w:hAnsi="Times New Roman" w:cs="Times New Roman"/>
          <w:sz w:val="24"/>
          <w:szCs w:val="24"/>
        </w:rPr>
        <w:sectPr w:rsidR="002044DC" w:rsidSect="00B775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Pr>
          <w:noProof/>
        </w:rPr>
        <w:drawing>
          <wp:inline distT="0" distB="0" distL="0" distR="0">
            <wp:extent cx="5185410" cy="3317240"/>
            <wp:effectExtent l="0" t="0" r="2159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44DC" w:rsidRDefault="002044DC" w:rsidP="002044DC">
      <w:pPr>
        <w:spacing w:after="0" w:line="480" w:lineRule="auto"/>
        <w:ind w:firstLine="720"/>
        <w:rPr>
          <w:rFonts w:ascii="Times New Roman" w:hAnsi="Times New Roman" w:cs="Times New Roman"/>
          <w:sz w:val="24"/>
          <w:szCs w:val="24"/>
        </w:rPr>
        <w:sectPr w:rsidR="002044DC" w:rsidSect="002044DC">
          <w:pgSz w:w="15840" w:h="12240" w:orient="landscape"/>
          <w:pgMar w:top="1440" w:right="1440" w:bottom="1440" w:left="1440" w:header="720" w:footer="720" w:gutter="0"/>
          <w:cols w:space="720"/>
          <w:docGrid w:linePitch="360"/>
        </w:sectPr>
      </w:pPr>
    </w:p>
    <w:p w:rsidR="002044DC" w:rsidRPr="008E18B7" w:rsidRDefault="002044DC" w:rsidP="002044DC">
      <w:pPr>
        <w:pBdr>
          <w:top w:val="single" w:sz="4" w:space="0" w:color="auto"/>
          <w:left w:val="single" w:sz="4" w:space="4" w:color="auto"/>
          <w:right w:val="single" w:sz="4" w:space="4" w:color="auto"/>
        </w:pBdr>
        <w:rPr>
          <w:rFonts w:ascii="Times New Roman" w:hAnsi="Times New Roman" w:cs="Times New Roman"/>
          <w:b/>
        </w:rPr>
      </w:pPr>
      <w:r w:rsidRPr="008E18B7">
        <w:rPr>
          <w:rFonts w:ascii="Times New Roman" w:hAnsi="Times New Roman" w:cs="Times New Roman"/>
          <w:b/>
        </w:rPr>
        <w:lastRenderedPageBreak/>
        <w:t>Table</w:t>
      </w:r>
      <w:r>
        <w:rPr>
          <w:rFonts w:ascii="Times New Roman" w:hAnsi="Times New Roman" w:cs="Times New Roman"/>
          <w:b/>
        </w:rPr>
        <w:t xml:space="preserve"> 3.3: </w:t>
      </w:r>
      <w:r w:rsidRPr="008E18B7">
        <w:rPr>
          <w:rFonts w:ascii="Times New Roman" w:hAnsi="Times New Roman" w:cs="Times New Roman"/>
          <w:b/>
        </w:rPr>
        <w:t>Political Fractionalization and Lustration Measures</w:t>
      </w:r>
    </w:p>
    <w:p w:rsidR="00740F4A" w:rsidRDefault="002044DC" w:rsidP="002044DC">
      <w:pPr>
        <w:pBdr>
          <w:top w:val="single" w:sz="4" w:space="0" w:color="auto"/>
          <w:left w:val="single" w:sz="4" w:space="4" w:color="auto"/>
          <w:bottom w:val="single" w:sz="4" w:space="1" w:color="auto"/>
          <w:right w:val="single" w:sz="4" w:space="4" w:color="auto"/>
        </w:pBdr>
      </w:pPr>
      <w:r w:rsidRPr="00554C50">
        <w:rPr>
          <w:noProof/>
        </w:rPr>
        <w:drawing>
          <wp:inline distT="0" distB="0" distL="0" distR="0">
            <wp:extent cx="8231571" cy="549690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8229600" cy="5495593"/>
                    </a:xfrm>
                    <a:prstGeom prst="rect">
                      <a:avLst/>
                    </a:prstGeom>
                    <a:noFill/>
                    <a:ln w="9525">
                      <a:noFill/>
                      <a:miter lim="800000"/>
                      <a:headEnd/>
                      <a:tailEnd/>
                    </a:ln>
                  </pic:spPr>
                </pic:pic>
              </a:graphicData>
            </a:graphic>
          </wp:inline>
        </w:drawing>
      </w:r>
    </w:p>
    <w:sectPr w:rsidR="00740F4A" w:rsidSect="002044DC">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16" w:rsidRDefault="00C07A16" w:rsidP="00CF52CA">
      <w:pPr>
        <w:spacing w:after="0" w:line="240" w:lineRule="auto"/>
      </w:pPr>
      <w:r>
        <w:separator/>
      </w:r>
    </w:p>
  </w:endnote>
  <w:endnote w:type="continuationSeparator" w:id="0">
    <w:p w:rsidR="00C07A16" w:rsidRDefault="00C07A16" w:rsidP="00CF5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eue Demos">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D5" w:rsidRDefault="007C2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29516"/>
      <w:docPartObj>
        <w:docPartGallery w:val="Page Numbers (Bottom of Page)"/>
        <w:docPartUnique/>
      </w:docPartObj>
    </w:sdtPr>
    <w:sdtContent>
      <w:p w:rsidR="007C22D5" w:rsidRDefault="007C22D5">
        <w:pPr>
          <w:pStyle w:val="Footer"/>
          <w:jc w:val="right"/>
        </w:pPr>
        <w:r>
          <w:fldChar w:fldCharType="begin"/>
        </w:r>
        <w:r>
          <w:instrText xml:space="preserve"> PAGE   \* MERGEFORMAT </w:instrText>
        </w:r>
        <w:r>
          <w:fldChar w:fldCharType="separate"/>
        </w:r>
        <w:r>
          <w:rPr>
            <w:noProof/>
          </w:rPr>
          <w:t>35</w:t>
        </w:r>
        <w:r>
          <w:fldChar w:fldCharType="end"/>
        </w:r>
      </w:p>
    </w:sdtContent>
  </w:sdt>
  <w:p w:rsidR="002044DC" w:rsidRDefault="00204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D5" w:rsidRDefault="007C2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16" w:rsidRDefault="00C07A16" w:rsidP="00CF52CA">
      <w:pPr>
        <w:spacing w:after="0" w:line="240" w:lineRule="auto"/>
      </w:pPr>
      <w:r>
        <w:separator/>
      </w:r>
    </w:p>
  </w:footnote>
  <w:footnote w:type="continuationSeparator" w:id="0">
    <w:p w:rsidR="00C07A16" w:rsidRDefault="00C07A16" w:rsidP="00CF52CA">
      <w:pPr>
        <w:spacing w:after="0" w:line="240" w:lineRule="auto"/>
      </w:pPr>
      <w:r>
        <w:continuationSeparator/>
      </w:r>
    </w:p>
  </w:footnote>
  <w:footnote w:id="1">
    <w:p w:rsidR="00CF52CA" w:rsidRPr="003D5834" w:rsidRDefault="00CF52CA" w:rsidP="00CF52CA">
      <w:pPr>
        <w:autoSpaceDE w:val="0"/>
        <w:autoSpaceDN w:val="0"/>
        <w:adjustRightInd w:val="0"/>
        <w:spacing w:after="0" w:line="240" w:lineRule="auto"/>
        <w:rPr>
          <w:rFonts w:ascii="Times New Roman" w:hAnsi="Times New Roman" w:cs="Times New Roman"/>
          <w:sz w:val="18"/>
          <w:szCs w:val="18"/>
        </w:rPr>
      </w:pPr>
      <w:r w:rsidRPr="003D5834">
        <w:rPr>
          <w:rStyle w:val="FootnoteReference"/>
          <w:rFonts w:ascii="Times New Roman" w:hAnsi="Times New Roman" w:cs="Times New Roman"/>
          <w:sz w:val="18"/>
          <w:szCs w:val="18"/>
        </w:rPr>
        <w:footnoteRef/>
      </w:r>
      <w:r w:rsidRPr="003D5834">
        <w:rPr>
          <w:rFonts w:ascii="Times New Roman" w:hAnsi="Times New Roman" w:cs="Times New Roman"/>
          <w:sz w:val="18"/>
          <w:szCs w:val="18"/>
        </w:rPr>
        <w:t xml:space="preserve"> Adrian </w:t>
      </w:r>
      <w:proofErr w:type="spellStart"/>
      <w:r w:rsidRPr="003D5834">
        <w:rPr>
          <w:rFonts w:ascii="Times New Roman" w:hAnsi="Times New Roman" w:cs="Times New Roman"/>
          <w:sz w:val="18"/>
          <w:szCs w:val="18"/>
        </w:rPr>
        <w:t>Cioflanca</w:t>
      </w:r>
      <w:proofErr w:type="spellEnd"/>
      <w:r w:rsidRPr="003D5834">
        <w:rPr>
          <w:rFonts w:ascii="Times New Roman" w:hAnsi="Times New Roman" w:cs="Times New Roman"/>
          <w:sz w:val="18"/>
          <w:szCs w:val="18"/>
        </w:rPr>
        <w:t>, “Politics of Oblivion in Post</w:t>
      </w:r>
      <w:r>
        <w:rPr>
          <w:rFonts w:ascii="Times New Roman" w:hAnsi="Times New Roman" w:cs="Times New Roman"/>
          <w:sz w:val="18"/>
          <w:szCs w:val="18"/>
        </w:rPr>
        <w:t>-C</w:t>
      </w:r>
      <w:r w:rsidRPr="003D5834">
        <w:rPr>
          <w:rFonts w:ascii="Times New Roman" w:hAnsi="Times New Roman" w:cs="Times New Roman"/>
          <w:sz w:val="18"/>
          <w:szCs w:val="18"/>
        </w:rPr>
        <w:t xml:space="preserve">ommunist Romania,” </w:t>
      </w:r>
      <w:r w:rsidRPr="003D5834">
        <w:rPr>
          <w:rFonts w:ascii="Times New Roman" w:hAnsi="Times New Roman" w:cs="Times New Roman"/>
          <w:i/>
          <w:sz w:val="18"/>
          <w:szCs w:val="18"/>
        </w:rPr>
        <w:t>Romanian Journal of Political Science</w:t>
      </w:r>
      <w:r>
        <w:rPr>
          <w:rFonts w:ascii="Times New Roman" w:hAnsi="Times New Roman" w:cs="Times New Roman"/>
          <w:sz w:val="18"/>
          <w:szCs w:val="18"/>
        </w:rPr>
        <w:t xml:space="preserve">, </w:t>
      </w:r>
      <w:r w:rsidRPr="003D5834">
        <w:rPr>
          <w:rFonts w:ascii="Times New Roman" w:hAnsi="Times New Roman" w:cs="Times New Roman"/>
          <w:sz w:val="18"/>
          <w:szCs w:val="18"/>
        </w:rPr>
        <w:t>2</w:t>
      </w:r>
      <w:r>
        <w:rPr>
          <w:rFonts w:ascii="Times New Roman" w:hAnsi="Times New Roman" w:cs="Times New Roman"/>
          <w:sz w:val="18"/>
          <w:szCs w:val="18"/>
        </w:rPr>
        <w:t>:2</w:t>
      </w:r>
      <w:r w:rsidRPr="003D5834">
        <w:rPr>
          <w:rFonts w:ascii="Times New Roman" w:hAnsi="Times New Roman" w:cs="Times New Roman"/>
          <w:sz w:val="18"/>
          <w:szCs w:val="18"/>
        </w:rPr>
        <w:t xml:space="preserve"> (2002)</w:t>
      </w:r>
      <w:r>
        <w:rPr>
          <w:rFonts w:ascii="Times New Roman" w:hAnsi="Times New Roman" w:cs="Times New Roman"/>
          <w:sz w:val="18"/>
          <w:szCs w:val="18"/>
        </w:rPr>
        <w:t>: 85-93</w:t>
      </w:r>
      <w:r w:rsidRPr="003D5834">
        <w:rPr>
          <w:rFonts w:ascii="Times New Roman" w:hAnsi="Times New Roman" w:cs="Times New Roman"/>
          <w:sz w:val="18"/>
          <w:szCs w:val="18"/>
        </w:rPr>
        <w:t xml:space="preserve">; </w:t>
      </w:r>
      <w:proofErr w:type="spellStart"/>
      <w:r w:rsidRPr="003D5834">
        <w:rPr>
          <w:rFonts w:ascii="Times New Roman" w:hAnsi="Times New Roman" w:cs="Times New Roman"/>
          <w:sz w:val="18"/>
          <w:szCs w:val="18"/>
        </w:rPr>
        <w:t>Bogdan</w:t>
      </w:r>
      <w:proofErr w:type="spellEnd"/>
      <w:r w:rsidRPr="003D5834">
        <w:rPr>
          <w:rFonts w:ascii="Times New Roman" w:hAnsi="Times New Roman" w:cs="Times New Roman"/>
          <w:sz w:val="18"/>
          <w:szCs w:val="18"/>
        </w:rPr>
        <w:t xml:space="preserve"> </w:t>
      </w:r>
      <w:proofErr w:type="spellStart"/>
      <w:r w:rsidRPr="003D5834">
        <w:rPr>
          <w:rFonts w:ascii="Times New Roman" w:hAnsi="Times New Roman" w:cs="Times New Roman"/>
          <w:sz w:val="18"/>
          <w:szCs w:val="18"/>
        </w:rPr>
        <w:t>Iancu</w:t>
      </w:r>
      <w:proofErr w:type="spellEnd"/>
      <w:r w:rsidRPr="003D5834">
        <w:rPr>
          <w:rFonts w:ascii="Times New Roman" w:hAnsi="Times New Roman" w:cs="Times New Roman"/>
          <w:sz w:val="18"/>
          <w:szCs w:val="18"/>
        </w:rPr>
        <w:t xml:space="preserve">, “Post-Accession Constitutionalism with a Human Face: Judicial Reform and Lustration in Romania,” </w:t>
      </w:r>
      <w:r w:rsidRPr="003D5834">
        <w:rPr>
          <w:rFonts w:ascii="Times New Roman" w:hAnsi="Times New Roman" w:cs="Times New Roman"/>
          <w:i/>
          <w:sz w:val="18"/>
          <w:szCs w:val="18"/>
        </w:rPr>
        <w:t>European Constitutional Law Review</w:t>
      </w:r>
      <w:r>
        <w:rPr>
          <w:rFonts w:ascii="Times New Roman" w:hAnsi="Times New Roman" w:cs="Times New Roman"/>
          <w:sz w:val="18"/>
          <w:szCs w:val="18"/>
        </w:rPr>
        <w:t xml:space="preserve">, </w:t>
      </w:r>
      <w:r w:rsidRPr="003D5834">
        <w:rPr>
          <w:rFonts w:ascii="Times New Roman" w:hAnsi="Times New Roman" w:cs="Times New Roman"/>
          <w:sz w:val="18"/>
          <w:szCs w:val="18"/>
        </w:rPr>
        <w:t>6</w:t>
      </w:r>
      <w:r>
        <w:rPr>
          <w:rFonts w:ascii="Times New Roman" w:hAnsi="Times New Roman" w:cs="Times New Roman"/>
          <w:sz w:val="18"/>
          <w:szCs w:val="18"/>
        </w:rPr>
        <w:t>:1</w:t>
      </w:r>
      <w:r w:rsidRPr="003D5834">
        <w:rPr>
          <w:rFonts w:ascii="Times New Roman" w:hAnsi="Times New Roman" w:cs="Times New Roman"/>
          <w:sz w:val="18"/>
          <w:szCs w:val="18"/>
        </w:rPr>
        <w:t xml:space="preserve"> (2010)</w:t>
      </w:r>
      <w:r>
        <w:rPr>
          <w:rFonts w:ascii="Times New Roman" w:hAnsi="Times New Roman" w:cs="Times New Roman"/>
          <w:sz w:val="18"/>
          <w:szCs w:val="18"/>
        </w:rPr>
        <w:t>: 28-58</w:t>
      </w:r>
      <w:r w:rsidRPr="003D5834">
        <w:rPr>
          <w:rFonts w:ascii="Times New Roman" w:hAnsi="Times New Roman" w:cs="Times New Roman"/>
          <w:sz w:val="18"/>
          <w:szCs w:val="18"/>
        </w:rPr>
        <w:t xml:space="preserve">; </w:t>
      </w:r>
      <w:r w:rsidRPr="00E67C22">
        <w:rPr>
          <w:rFonts w:ascii="Times New Roman" w:hAnsi="Times New Roman" w:cs="Times New Roman"/>
          <w:color w:val="000000" w:themeColor="text1"/>
          <w:sz w:val="18"/>
          <w:szCs w:val="18"/>
        </w:rPr>
        <w:t xml:space="preserve">Ed </w:t>
      </w:r>
      <w:proofErr w:type="spellStart"/>
      <w:r w:rsidRPr="00E67C22">
        <w:rPr>
          <w:rFonts w:ascii="Times New Roman" w:hAnsi="Times New Roman" w:cs="Times New Roman"/>
          <w:color w:val="000000" w:themeColor="text1"/>
          <w:sz w:val="18"/>
          <w:szCs w:val="18"/>
        </w:rPr>
        <w:t>Maxfield</w:t>
      </w:r>
      <w:proofErr w:type="spellEnd"/>
      <w:r w:rsidRPr="00E67C22">
        <w:rPr>
          <w:rFonts w:ascii="Times New Roman" w:hAnsi="Times New Roman" w:cs="Times New Roman"/>
          <w:color w:val="000000" w:themeColor="text1"/>
          <w:sz w:val="18"/>
          <w:szCs w:val="18"/>
        </w:rPr>
        <w:t xml:space="preserve">, “Romania,” in </w:t>
      </w:r>
      <w:r w:rsidRPr="00E67C22">
        <w:rPr>
          <w:rFonts w:ascii="Times New Roman" w:hAnsi="Times New Roman" w:cs="Times New Roman"/>
          <w:i/>
          <w:color w:val="000000" w:themeColor="text1"/>
          <w:sz w:val="18"/>
          <w:szCs w:val="18"/>
        </w:rPr>
        <w:t>Encyclopedia of Transitional Justice</w:t>
      </w:r>
      <w:r w:rsidRPr="00E67C22">
        <w:rPr>
          <w:rFonts w:ascii="Times New Roman" w:hAnsi="Times New Roman" w:cs="Times New Roman"/>
          <w:color w:val="000000" w:themeColor="text1"/>
          <w:sz w:val="18"/>
          <w:szCs w:val="18"/>
        </w:rPr>
        <w:t>, eds.</w:t>
      </w:r>
      <w:r w:rsidRPr="00E67C22">
        <w:rPr>
          <w:rFonts w:ascii="Times New Roman" w:hAnsi="Times New Roman" w:cs="Times New Roman"/>
          <w:i/>
          <w:color w:val="000000" w:themeColor="text1"/>
          <w:sz w:val="18"/>
          <w:szCs w:val="18"/>
        </w:rPr>
        <w:t xml:space="preserve"> </w:t>
      </w:r>
      <w:proofErr w:type="spellStart"/>
      <w:r w:rsidRPr="00E67C22">
        <w:rPr>
          <w:rFonts w:ascii="Times New Roman" w:hAnsi="Times New Roman" w:cs="Times New Roman"/>
          <w:color w:val="000000" w:themeColor="text1"/>
          <w:sz w:val="18"/>
          <w:szCs w:val="18"/>
        </w:rPr>
        <w:t>Lavinia</w:t>
      </w:r>
      <w:proofErr w:type="spellEnd"/>
      <w:r w:rsidRPr="00E67C22">
        <w:rPr>
          <w:rFonts w:ascii="Times New Roman" w:hAnsi="Times New Roman" w:cs="Times New Roman"/>
          <w:color w:val="000000" w:themeColor="text1"/>
          <w:sz w:val="18"/>
          <w:szCs w:val="18"/>
        </w:rPr>
        <w:t xml:space="preserve"> Stan and </w:t>
      </w:r>
      <w:proofErr w:type="spellStart"/>
      <w:r w:rsidRPr="00E67C22">
        <w:rPr>
          <w:rFonts w:ascii="Times New Roman" w:hAnsi="Times New Roman" w:cs="Times New Roman"/>
          <w:color w:val="000000" w:themeColor="text1"/>
          <w:sz w:val="18"/>
          <w:szCs w:val="18"/>
        </w:rPr>
        <w:t>Nadya</w:t>
      </w:r>
      <w:proofErr w:type="spellEnd"/>
      <w:r w:rsidRPr="00E67C22">
        <w:rPr>
          <w:rFonts w:ascii="Times New Roman" w:hAnsi="Times New Roman" w:cs="Times New Roman"/>
          <w:color w:val="000000" w:themeColor="text1"/>
          <w:sz w:val="18"/>
          <w:szCs w:val="18"/>
        </w:rPr>
        <w:t xml:space="preserve"> </w:t>
      </w:r>
      <w:proofErr w:type="spellStart"/>
      <w:r w:rsidRPr="00E67C22">
        <w:rPr>
          <w:rFonts w:ascii="Times New Roman" w:hAnsi="Times New Roman" w:cs="Times New Roman"/>
          <w:color w:val="000000" w:themeColor="text1"/>
          <w:sz w:val="18"/>
          <w:szCs w:val="18"/>
        </w:rPr>
        <w:t>Nedelsky</w:t>
      </w:r>
      <w:proofErr w:type="spellEnd"/>
      <w:r w:rsidRPr="00E67C22">
        <w:rPr>
          <w:rFonts w:ascii="Times New Roman" w:hAnsi="Times New Roman" w:cs="Times New Roman"/>
          <w:color w:val="000000" w:themeColor="text1"/>
          <w:sz w:val="18"/>
          <w:szCs w:val="18"/>
        </w:rPr>
        <w:t xml:space="preserve"> (Cambridge: Cambridge University Press, 2013), 2:7-14; </w:t>
      </w:r>
      <w:r w:rsidRPr="003D5834">
        <w:rPr>
          <w:rFonts w:ascii="Times New Roman" w:hAnsi="Times New Roman" w:cs="Times New Roman"/>
          <w:sz w:val="18"/>
          <w:szCs w:val="18"/>
        </w:rPr>
        <w:t xml:space="preserve">Lavinia Stan, </w:t>
      </w:r>
      <w:r w:rsidRPr="003D5834">
        <w:rPr>
          <w:rFonts w:ascii="Times New Roman" w:hAnsi="Times New Roman" w:cs="Times New Roman"/>
          <w:i/>
          <w:sz w:val="18"/>
          <w:szCs w:val="18"/>
        </w:rPr>
        <w:t>Transitional Justice in Post-Communist Romania: The Politics of Memory</w:t>
      </w:r>
      <w:r w:rsidRPr="003D5834">
        <w:rPr>
          <w:rFonts w:ascii="Times New Roman" w:hAnsi="Times New Roman" w:cs="Times New Roman"/>
          <w:sz w:val="18"/>
          <w:szCs w:val="18"/>
        </w:rPr>
        <w:t xml:space="preserve"> (</w:t>
      </w:r>
      <w:r>
        <w:rPr>
          <w:rFonts w:ascii="Times New Roman" w:hAnsi="Times New Roman" w:cs="Times New Roman"/>
          <w:sz w:val="18"/>
          <w:szCs w:val="18"/>
        </w:rPr>
        <w:t>New York</w:t>
      </w:r>
      <w:r w:rsidRPr="003D5834">
        <w:rPr>
          <w:rFonts w:ascii="Times New Roman" w:hAnsi="Times New Roman" w:cs="Times New Roman"/>
          <w:sz w:val="18"/>
          <w:szCs w:val="18"/>
        </w:rPr>
        <w:t xml:space="preserve">: </w:t>
      </w:r>
      <w:r>
        <w:rPr>
          <w:rFonts w:ascii="Times New Roman" w:hAnsi="Times New Roman" w:cs="Times New Roman"/>
          <w:sz w:val="18"/>
          <w:szCs w:val="18"/>
        </w:rPr>
        <w:t>Cambridge University Press, 2013</w:t>
      </w:r>
      <w:r w:rsidRPr="003D5834">
        <w:rPr>
          <w:rFonts w:ascii="Times New Roman" w:hAnsi="Times New Roman" w:cs="Times New Roman"/>
          <w:sz w:val="18"/>
          <w:szCs w:val="18"/>
        </w:rPr>
        <w:t xml:space="preserve">); Lavinia Stan and Diane </w:t>
      </w:r>
      <w:proofErr w:type="spellStart"/>
      <w:r w:rsidRPr="003D5834">
        <w:rPr>
          <w:rFonts w:ascii="Times New Roman" w:hAnsi="Times New Roman" w:cs="Times New Roman"/>
          <w:sz w:val="18"/>
          <w:szCs w:val="18"/>
        </w:rPr>
        <w:t>Vancea</w:t>
      </w:r>
      <w:proofErr w:type="spellEnd"/>
      <w:r w:rsidRPr="003D5834">
        <w:rPr>
          <w:rFonts w:ascii="Times New Roman" w:hAnsi="Times New Roman" w:cs="Times New Roman"/>
          <w:sz w:val="18"/>
          <w:szCs w:val="18"/>
        </w:rPr>
        <w:t xml:space="preserve">, “Old Wine in New Bottles: The Romanian Elections of 2008,” </w:t>
      </w:r>
      <w:r w:rsidRPr="003D5834">
        <w:rPr>
          <w:rFonts w:ascii="Times New Roman" w:hAnsi="Times New Roman" w:cs="Times New Roman"/>
          <w:i/>
          <w:sz w:val="18"/>
          <w:szCs w:val="18"/>
        </w:rPr>
        <w:t>Problems of Post-Communism</w:t>
      </w:r>
      <w:r>
        <w:rPr>
          <w:rFonts w:ascii="Times New Roman" w:hAnsi="Times New Roman" w:cs="Times New Roman"/>
          <w:sz w:val="18"/>
          <w:szCs w:val="18"/>
        </w:rPr>
        <w:t>, 56:</w:t>
      </w:r>
      <w:r w:rsidRPr="003D5834">
        <w:rPr>
          <w:rFonts w:ascii="Times New Roman" w:hAnsi="Times New Roman" w:cs="Times New Roman"/>
          <w:sz w:val="18"/>
          <w:szCs w:val="18"/>
        </w:rPr>
        <w:t>5 (2009)</w:t>
      </w:r>
      <w:r>
        <w:rPr>
          <w:rFonts w:ascii="Times New Roman" w:hAnsi="Times New Roman" w:cs="Times New Roman"/>
          <w:sz w:val="18"/>
          <w:szCs w:val="18"/>
        </w:rPr>
        <w:t>: 47-61</w:t>
      </w:r>
      <w:r w:rsidRPr="003D5834">
        <w:rPr>
          <w:rFonts w:ascii="Times New Roman" w:hAnsi="Times New Roman" w:cs="Times New Roman"/>
          <w:sz w:val="18"/>
          <w:szCs w:val="18"/>
        </w:rPr>
        <w:t>.</w:t>
      </w:r>
    </w:p>
  </w:footnote>
  <w:footnote w:id="2">
    <w:p w:rsidR="00CF52CA" w:rsidRPr="006802CC" w:rsidRDefault="00CF52CA" w:rsidP="00CF52CA">
      <w:pPr>
        <w:pStyle w:val="FootnoteText"/>
        <w:rPr>
          <w:color w:val="000000" w:themeColor="text1"/>
          <w:sz w:val="18"/>
          <w:szCs w:val="18"/>
        </w:rPr>
      </w:pPr>
      <w:r w:rsidRPr="006802CC">
        <w:rPr>
          <w:rStyle w:val="FootnoteReference"/>
          <w:color w:val="000000" w:themeColor="text1"/>
          <w:sz w:val="18"/>
          <w:szCs w:val="18"/>
        </w:rPr>
        <w:footnoteRef/>
      </w:r>
      <w:r w:rsidRPr="006802CC">
        <w:rPr>
          <w:color w:val="000000" w:themeColor="text1"/>
          <w:sz w:val="18"/>
          <w:szCs w:val="18"/>
        </w:rPr>
        <w:t xml:space="preserve"> Neil </w:t>
      </w:r>
      <w:proofErr w:type="spellStart"/>
      <w:r w:rsidRPr="006802CC">
        <w:rPr>
          <w:color w:val="000000" w:themeColor="text1"/>
          <w:sz w:val="18"/>
          <w:szCs w:val="18"/>
        </w:rPr>
        <w:t>Kritz</w:t>
      </w:r>
      <w:proofErr w:type="spellEnd"/>
      <w:r w:rsidRPr="006802CC">
        <w:rPr>
          <w:color w:val="000000" w:themeColor="text1"/>
          <w:sz w:val="18"/>
          <w:szCs w:val="18"/>
        </w:rPr>
        <w:t>, “Policy Implications of Empirical Research on Transitional Justice,” in</w:t>
      </w:r>
      <w:r w:rsidRPr="006802CC">
        <w:rPr>
          <w:i/>
          <w:color w:val="000000" w:themeColor="text1"/>
          <w:sz w:val="18"/>
          <w:szCs w:val="18"/>
        </w:rPr>
        <w:t xml:space="preserve"> Assessing the Impact of Transitional Justice</w:t>
      </w:r>
      <w:r w:rsidRPr="006802CC">
        <w:rPr>
          <w:color w:val="000000" w:themeColor="text1"/>
          <w:sz w:val="18"/>
          <w:szCs w:val="18"/>
        </w:rPr>
        <w:t>, eds. Hugo Van der Merwe, Victoria Baxter and Audrey Chapman (Washington, D.C.: U.S. Institute of Peace, 2009), 14.</w:t>
      </w:r>
    </w:p>
  </w:footnote>
  <w:footnote w:id="3">
    <w:p w:rsidR="00CF52CA" w:rsidRPr="00184F2C" w:rsidRDefault="00CF52CA" w:rsidP="00CF52CA">
      <w:pPr>
        <w:pStyle w:val="FootnoteText"/>
        <w:rPr>
          <w:color w:val="000000" w:themeColor="text1"/>
          <w:sz w:val="18"/>
          <w:szCs w:val="18"/>
        </w:rPr>
      </w:pPr>
      <w:r w:rsidRPr="00184F2C">
        <w:rPr>
          <w:rStyle w:val="FootnoteReference"/>
          <w:color w:val="000000" w:themeColor="text1"/>
          <w:sz w:val="18"/>
          <w:szCs w:val="18"/>
        </w:rPr>
        <w:footnoteRef/>
      </w:r>
      <w:r w:rsidRPr="00184F2C">
        <w:rPr>
          <w:color w:val="000000" w:themeColor="text1"/>
          <w:sz w:val="18"/>
          <w:szCs w:val="18"/>
        </w:rPr>
        <w:t xml:space="preserve"> Lavinia Stan, ed., </w:t>
      </w:r>
      <w:r w:rsidRPr="00184F2C">
        <w:rPr>
          <w:i/>
          <w:color w:val="000000" w:themeColor="text1"/>
          <w:sz w:val="18"/>
          <w:szCs w:val="18"/>
        </w:rPr>
        <w:t>Transitional Justice in Eastern Europe and the Former Soviet Union: Reckoning with the Communist Past</w:t>
      </w:r>
      <w:r w:rsidRPr="00184F2C">
        <w:rPr>
          <w:color w:val="000000" w:themeColor="text1"/>
          <w:sz w:val="18"/>
          <w:szCs w:val="18"/>
        </w:rPr>
        <w:t xml:space="preserve"> (London: Routledge Press, 2009), 11.</w:t>
      </w:r>
    </w:p>
  </w:footnote>
  <w:footnote w:id="4">
    <w:p w:rsidR="00CF52CA" w:rsidRPr="00184F2C" w:rsidRDefault="00CF52CA" w:rsidP="00CF52CA">
      <w:pPr>
        <w:pStyle w:val="EndnoteText"/>
        <w:rPr>
          <w:color w:val="000000" w:themeColor="text1"/>
          <w:sz w:val="18"/>
          <w:szCs w:val="18"/>
        </w:rPr>
      </w:pPr>
      <w:r w:rsidRPr="00184F2C">
        <w:rPr>
          <w:rStyle w:val="FootnoteReference"/>
          <w:color w:val="000000" w:themeColor="text1"/>
          <w:sz w:val="18"/>
          <w:szCs w:val="18"/>
        </w:rPr>
        <w:footnoteRef/>
      </w:r>
      <w:r w:rsidRPr="00184F2C">
        <w:rPr>
          <w:color w:val="000000" w:themeColor="text1"/>
          <w:sz w:val="18"/>
          <w:szCs w:val="18"/>
        </w:rPr>
        <w:t xml:space="preserve"> Eva-Clarita </w:t>
      </w:r>
      <w:proofErr w:type="spellStart"/>
      <w:r w:rsidRPr="00184F2C">
        <w:rPr>
          <w:color w:val="000000" w:themeColor="text1"/>
          <w:sz w:val="18"/>
          <w:szCs w:val="18"/>
        </w:rPr>
        <w:t>Pettai</w:t>
      </w:r>
      <w:proofErr w:type="spellEnd"/>
      <w:r w:rsidRPr="00184F2C">
        <w:rPr>
          <w:color w:val="000000" w:themeColor="text1"/>
          <w:sz w:val="18"/>
          <w:szCs w:val="18"/>
        </w:rPr>
        <w:t xml:space="preserve"> and </w:t>
      </w:r>
      <w:proofErr w:type="spellStart"/>
      <w:r w:rsidRPr="00184F2C">
        <w:rPr>
          <w:color w:val="000000" w:themeColor="text1"/>
          <w:sz w:val="18"/>
          <w:szCs w:val="18"/>
        </w:rPr>
        <w:t>Vello</w:t>
      </w:r>
      <w:proofErr w:type="spellEnd"/>
      <w:r w:rsidRPr="00184F2C">
        <w:rPr>
          <w:color w:val="000000" w:themeColor="text1"/>
          <w:sz w:val="18"/>
          <w:szCs w:val="18"/>
        </w:rPr>
        <w:t xml:space="preserve"> </w:t>
      </w:r>
      <w:proofErr w:type="spellStart"/>
      <w:r w:rsidRPr="00184F2C">
        <w:rPr>
          <w:color w:val="000000" w:themeColor="text1"/>
          <w:sz w:val="18"/>
          <w:szCs w:val="18"/>
        </w:rPr>
        <w:t>Pettai</w:t>
      </w:r>
      <w:proofErr w:type="spellEnd"/>
      <w:r w:rsidRPr="00184F2C">
        <w:rPr>
          <w:color w:val="000000" w:themeColor="text1"/>
          <w:sz w:val="18"/>
          <w:szCs w:val="18"/>
        </w:rPr>
        <w:t xml:space="preserve">, </w:t>
      </w:r>
      <w:r w:rsidRPr="00184F2C">
        <w:rPr>
          <w:i/>
          <w:color w:val="000000" w:themeColor="text1"/>
          <w:sz w:val="18"/>
          <w:szCs w:val="18"/>
        </w:rPr>
        <w:t>Transitional and Retrospective Justice in the Baltic States</w:t>
      </w:r>
      <w:r w:rsidRPr="00184F2C">
        <w:rPr>
          <w:color w:val="000000" w:themeColor="text1"/>
          <w:sz w:val="18"/>
          <w:szCs w:val="18"/>
        </w:rPr>
        <w:t xml:space="preserve"> (Cambridge: Cambridge University Press, 2014).</w:t>
      </w:r>
    </w:p>
  </w:footnote>
  <w:footnote w:id="5">
    <w:p w:rsidR="00CF52CA" w:rsidRPr="005B5CDE" w:rsidRDefault="00CF52CA" w:rsidP="00CF52CA">
      <w:pPr>
        <w:pStyle w:val="EndnoteText"/>
        <w:rPr>
          <w:sz w:val="18"/>
          <w:szCs w:val="18"/>
        </w:rPr>
      </w:pPr>
      <w:r w:rsidRPr="005B5CDE">
        <w:rPr>
          <w:rStyle w:val="FootnoteReference"/>
          <w:sz w:val="18"/>
          <w:szCs w:val="18"/>
        </w:rPr>
        <w:footnoteRef/>
      </w:r>
      <w:r w:rsidRPr="005B5CDE">
        <w:rPr>
          <w:sz w:val="18"/>
          <w:szCs w:val="18"/>
        </w:rPr>
        <w:t xml:space="preserve"> Robert Austin and Jonathan Ellison, “Post-Communist Transitional Justice in Albania,” </w:t>
      </w:r>
      <w:r w:rsidRPr="005B5CDE">
        <w:rPr>
          <w:i/>
          <w:sz w:val="18"/>
          <w:szCs w:val="18"/>
        </w:rPr>
        <w:t>East European Politics and Societies</w:t>
      </w:r>
      <w:r>
        <w:rPr>
          <w:i/>
          <w:sz w:val="18"/>
          <w:szCs w:val="18"/>
        </w:rPr>
        <w:t xml:space="preserve">, </w:t>
      </w:r>
      <w:r w:rsidRPr="005B5CDE">
        <w:rPr>
          <w:sz w:val="18"/>
          <w:szCs w:val="18"/>
        </w:rPr>
        <w:t>22:2 (2008)</w:t>
      </w:r>
      <w:r>
        <w:rPr>
          <w:sz w:val="18"/>
          <w:szCs w:val="18"/>
        </w:rPr>
        <w:t>: 373-401.</w:t>
      </w:r>
    </w:p>
  </w:footnote>
  <w:footnote w:id="6">
    <w:p w:rsidR="00CF52CA" w:rsidRPr="00B976DF" w:rsidRDefault="00CF52CA" w:rsidP="00CF52CA">
      <w:pPr>
        <w:autoSpaceDE w:val="0"/>
        <w:autoSpaceDN w:val="0"/>
        <w:adjustRightInd w:val="0"/>
        <w:spacing w:after="0" w:line="240" w:lineRule="auto"/>
        <w:rPr>
          <w:rFonts w:ascii="Times New Roman" w:hAnsi="Times New Roman" w:cs="Times New Roman"/>
          <w:sz w:val="18"/>
          <w:szCs w:val="18"/>
        </w:rPr>
      </w:pPr>
      <w:r w:rsidRPr="00B976DF">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K.</w:t>
      </w:r>
      <w:r w:rsidRPr="00B976DF">
        <w:rPr>
          <w:rFonts w:ascii="Times New Roman" w:hAnsi="Times New Roman" w:cs="Times New Roman"/>
          <w:sz w:val="18"/>
          <w:szCs w:val="18"/>
        </w:rPr>
        <w:t xml:space="preserve"> </w:t>
      </w:r>
      <w:proofErr w:type="spellStart"/>
      <w:r w:rsidRPr="00B976DF">
        <w:rPr>
          <w:rFonts w:ascii="Times New Roman" w:hAnsi="Times New Roman" w:cs="Times New Roman"/>
          <w:sz w:val="18"/>
          <w:szCs w:val="18"/>
        </w:rPr>
        <w:t>Imholz</w:t>
      </w:r>
      <w:proofErr w:type="spellEnd"/>
      <w:r w:rsidRPr="00B976DF">
        <w:rPr>
          <w:rFonts w:ascii="Times New Roman" w:hAnsi="Times New Roman" w:cs="Times New Roman"/>
          <w:sz w:val="18"/>
          <w:szCs w:val="18"/>
        </w:rPr>
        <w:t xml:space="preserve">, “A Landmark Constitutional Court Decision in Albania,” </w:t>
      </w:r>
      <w:r w:rsidRPr="00B976DF">
        <w:rPr>
          <w:rFonts w:ascii="Times New Roman" w:hAnsi="Times New Roman" w:cs="Times New Roman"/>
          <w:i/>
          <w:sz w:val="18"/>
          <w:szCs w:val="18"/>
        </w:rPr>
        <w:t>East European Constitutional Review</w:t>
      </w:r>
      <w:r>
        <w:rPr>
          <w:rFonts w:ascii="Times New Roman" w:hAnsi="Times New Roman" w:cs="Times New Roman"/>
          <w:sz w:val="18"/>
          <w:szCs w:val="18"/>
        </w:rPr>
        <w:t xml:space="preserve"> 2:</w:t>
      </w:r>
      <w:r w:rsidRPr="00B976DF">
        <w:rPr>
          <w:rFonts w:ascii="Times New Roman" w:hAnsi="Times New Roman" w:cs="Times New Roman"/>
          <w:sz w:val="18"/>
          <w:szCs w:val="18"/>
        </w:rPr>
        <w:t>3 (1993)</w:t>
      </w:r>
      <w:r>
        <w:rPr>
          <w:rFonts w:ascii="Times New Roman" w:hAnsi="Times New Roman" w:cs="Times New Roman"/>
          <w:sz w:val="18"/>
          <w:szCs w:val="18"/>
        </w:rPr>
        <w:t>: 22-25</w:t>
      </w:r>
      <w:r w:rsidRPr="00B976DF">
        <w:rPr>
          <w:rFonts w:ascii="Times New Roman" w:hAnsi="Times New Roman" w:cs="Times New Roman"/>
          <w:sz w:val="18"/>
          <w:szCs w:val="18"/>
        </w:rPr>
        <w:t>.</w:t>
      </w:r>
    </w:p>
  </w:footnote>
  <w:footnote w:id="7">
    <w:p w:rsidR="00CF52CA" w:rsidRPr="00B976DF" w:rsidRDefault="00CF52CA" w:rsidP="00CF52CA">
      <w:pPr>
        <w:pStyle w:val="FootnoteText"/>
        <w:rPr>
          <w:sz w:val="18"/>
          <w:szCs w:val="18"/>
        </w:rPr>
      </w:pPr>
      <w:r w:rsidRPr="00B976DF">
        <w:rPr>
          <w:rStyle w:val="FootnoteReference"/>
          <w:sz w:val="18"/>
          <w:szCs w:val="18"/>
        </w:rPr>
        <w:footnoteRef/>
      </w:r>
      <w:r w:rsidRPr="00B976DF">
        <w:rPr>
          <w:sz w:val="18"/>
          <w:szCs w:val="18"/>
        </w:rPr>
        <w:t xml:space="preserve"> Austin and Ellison</w:t>
      </w:r>
      <w:r>
        <w:rPr>
          <w:sz w:val="18"/>
          <w:szCs w:val="18"/>
        </w:rPr>
        <w:t>,</w:t>
      </w:r>
      <w:r w:rsidRPr="00B976DF">
        <w:rPr>
          <w:sz w:val="18"/>
          <w:szCs w:val="18"/>
        </w:rPr>
        <w:t xml:space="preserve"> “Transitional Justice in Albania,” 388.</w:t>
      </w:r>
    </w:p>
  </w:footnote>
  <w:footnote w:id="8">
    <w:p w:rsidR="00CF52CA" w:rsidRPr="00B976DF" w:rsidRDefault="00CF52CA" w:rsidP="00CF52CA">
      <w:pPr>
        <w:pStyle w:val="EndnoteText"/>
        <w:rPr>
          <w:sz w:val="18"/>
          <w:szCs w:val="18"/>
        </w:rPr>
      </w:pPr>
      <w:r w:rsidRPr="00B976DF">
        <w:rPr>
          <w:rStyle w:val="FootnoteReference"/>
          <w:sz w:val="18"/>
          <w:szCs w:val="18"/>
        </w:rPr>
        <w:footnoteRef/>
      </w:r>
      <w:r w:rsidRPr="00B976DF">
        <w:rPr>
          <w:sz w:val="18"/>
          <w:szCs w:val="18"/>
        </w:rPr>
        <w:t xml:space="preserve"> Robert Austin, “Albania,” in </w:t>
      </w:r>
      <w:r w:rsidRPr="00B976DF">
        <w:rPr>
          <w:i/>
          <w:sz w:val="18"/>
          <w:szCs w:val="18"/>
        </w:rPr>
        <w:t>Encyc</w:t>
      </w:r>
      <w:r>
        <w:rPr>
          <w:i/>
          <w:sz w:val="18"/>
          <w:szCs w:val="18"/>
        </w:rPr>
        <w:t>lopedia of Transitional Justice</w:t>
      </w:r>
      <w:r>
        <w:rPr>
          <w:sz w:val="18"/>
          <w:szCs w:val="18"/>
        </w:rPr>
        <w:t xml:space="preserve">, eds. </w:t>
      </w:r>
      <w:proofErr w:type="spellStart"/>
      <w:r>
        <w:rPr>
          <w:sz w:val="18"/>
          <w:szCs w:val="18"/>
        </w:rPr>
        <w:t>Lavinia</w:t>
      </w:r>
      <w:proofErr w:type="spellEnd"/>
      <w:r>
        <w:rPr>
          <w:sz w:val="18"/>
          <w:szCs w:val="18"/>
        </w:rPr>
        <w:t xml:space="preserve"> Stan and </w:t>
      </w:r>
      <w:proofErr w:type="spellStart"/>
      <w:r>
        <w:rPr>
          <w:sz w:val="18"/>
          <w:szCs w:val="18"/>
        </w:rPr>
        <w:t>Nadya</w:t>
      </w:r>
      <w:proofErr w:type="spellEnd"/>
      <w:r>
        <w:rPr>
          <w:sz w:val="18"/>
          <w:szCs w:val="18"/>
        </w:rPr>
        <w:t xml:space="preserve"> </w:t>
      </w:r>
      <w:proofErr w:type="spellStart"/>
      <w:r>
        <w:rPr>
          <w:sz w:val="18"/>
          <w:szCs w:val="18"/>
        </w:rPr>
        <w:t>Nedelsky</w:t>
      </w:r>
      <w:proofErr w:type="spellEnd"/>
      <w:r>
        <w:rPr>
          <w:sz w:val="18"/>
          <w:szCs w:val="18"/>
        </w:rPr>
        <w:t xml:space="preserve"> </w:t>
      </w:r>
      <w:r w:rsidRPr="00B976DF">
        <w:rPr>
          <w:sz w:val="18"/>
          <w:szCs w:val="18"/>
        </w:rPr>
        <w:t xml:space="preserve">(Cambridge University Press, 2013), </w:t>
      </w:r>
      <w:r>
        <w:rPr>
          <w:sz w:val="18"/>
          <w:szCs w:val="18"/>
        </w:rPr>
        <w:t>2:</w:t>
      </w:r>
      <w:r w:rsidRPr="00B976DF">
        <w:rPr>
          <w:sz w:val="18"/>
          <w:szCs w:val="18"/>
        </w:rPr>
        <w:t>7-14.</w:t>
      </w:r>
    </w:p>
  </w:footnote>
  <w:footnote w:id="9">
    <w:p w:rsidR="00CF52CA" w:rsidRPr="003975B6" w:rsidRDefault="00CF52CA" w:rsidP="00CF52CA">
      <w:pPr>
        <w:pStyle w:val="FootnoteText"/>
        <w:rPr>
          <w:sz w:val="18"/>
          <w:szCs w:val="18"/>
        </w:rPr>
      </w:pPr>
      <w:r w:rsidRPr="003975B6">
        <w:rPr>
          <w:rStyle w:val="FootnoteReference"/>
          <w:sz w:val="18"/>
          <w:szCs w:val="18"/>
        </w:rPr>
        <w:footnoteRef/>
      </w:r>
      <w:r w:rsidRPr="003975B6">
        <w:rPr>
          <w:sz w:val="18"/>
          <w:szCs w:val="18"/>
        </w:rPr>
        <w:t xml:space="preserve"> Venice Commission, </w:t>
      </w:r>
      <w:r>
        <w:rPr>
          <w:sz w:val="18"/>
          <w:szCs w:val="18"/>
        </w:rPr>
        <w:t>“</w:t>
      </w:r>
      <w:r w:rsidRPr="003975B6">
        <w:rPr>
          <w:sz w:val="18"/>
          <w:szCs w:val="18"/>
        </w:rPr>
        <w:t>Law on the Cleanliness of the Figure of High Functionaries of the Public Administration and Elected Persons of the Republic of Albania, Opinion No 524/2009</w:t>
      </w:r>
      <w:r>
        <w:rPr>
          <w:sz w:val="18"/>
          <w:szCs w:val="18"/>
        </w:rPr>
        <w:t>”</w:t>
      </w:r>
      <w:r w:rsidRPr="003975B6">
        <w:rPr>
          <w:sz w:val="18"/>
          <w:szCs w:val="18"/>
        </w:rPr>
        <w:t xml:space="preserve"> (Strasbourg, 13 August 2009); and Austin, “Albania.” </w:t>
      </w:r>
    </w:p>
  </w:footnote>
  <w:footnote w:id="10">
    <w:p w:rsidR="00CF52CA" w:rsidRPr="003975B6" w:rsidRDefault="00CF52CA" w:rsidP="00CF52CA">
      <w:pPr>
        <w:pStyle w:val="FootnoteText"/>
        <w:rPr>
          <w:sz w:val="18"/>
          <w:szCs w:val="18"/>
        </w:rPr>
      </w:pPr>
      <w:r w:rsidRPr="003975B6">
        <w:rPr>
          <w:rStyle w:val="FootnoteReference"/>
          <w:sz w:val="18"/>
          <w:szCs w:val="18"/>
        </w:rPr>
        <w:footnoteRef/>
      </w:r>
      <w:r w:rsidRPr="003975B6">
        <w:rPr>
          <w:sz w:val="18"/>
          <w:szCs w:val="18"/>
        </w:rPr>
        <w:t xml:space="preserve"> “Albanian High Court Annuls Lustration Law,” </w:t>
      </w:r>
      <w:proofErr w:type="spellStart"/>
      <w:r>
        <w:rPr>
          <w:i/>
          <w:sz w:val="18"/>
          <w:szCs w:val="18"/>
        </w:rPr>
        <w:t>BalkanInsight</w:t>
      </w:r>
      <w:proofErr w:type="spellEnd"/>
      <w:r w:rsidRPr="003E7407">
        <w:rPr>
          <w:sz w:val="18"/>
          <w:szCs w:val="18"/>
        </w:rPr>
        <w:t xml:space="preserve">, </w:t>
      </w:r>
      <w:r>
        <w:rPr>
          <w:sz w:val="18"/>
          <w:szCs w:val="18"/>
        </w:rPr>
        <w:t xml:space="preserve">2 </w:t>
      </w:r>
      <w:r w:rsidRPr="003975B6">
        <w:rPr>
          <w:sz w:val="18"/>
          <w:szCs w:val="18"/>
        </w:rPr>
        <w:t>February 2010.</w:t>
      </w:r>
    </w:p>
  </w:footnote>
  <w:footnote w:id="11">
    <w:p w:rsidR="00CF52CA" w:rsidRPr="003975B6" w:rsidRDefault="00CF52CA" w:rsidP="00CF52CA">
      <w:pPr>
        <w:pStyle w:val="EndnoteText"/>
        <w:rPr>
          <w:sz w:val="18"/>
          <w:szCs w:val="18"/>
        </w:rPr>
      </w:pPr>
      <w:r w:rsidRPr="003975B6">
        <w:rPr>
          <w:rStyle w:val="FootnoteReference"/>
          <w:sz w:val="18"/>
          <w:szCs w:val="18"/>
        </w:rPr>
        <w:footnoteRef/>
      </w:r>
      <w:r w:rsidRPr="003975B6">
        <w:rPr>
          <w:sz w:val="18"/>
          <w:szCs w:val="18"/>
        </w:rPr>
        <w:t xml:space="preserve"> “Bulgaria: Law on Banks and Credit Activity, No. 25 of March 18, 1992,” in </w:t>
      </w:r>
      <w:r w:rsidRPr="003975B6">
        <w:rPr>
          <w:i/>
          <w:sz w:val="18"/>
          <w:szCs w:val="18"/>
        </w:rPr>
        <w:t>Transitional Justice</w:t>
      </w:r>
      <w:r w:rsidRPr="003975B6">
        <w:rPr>
          <w:sz w:val="18"/>
          <w:szCs w:val="18"/>
        </w:rPr>
        <w:t xml:space="preserve">: </w:t>
      </w:r>
      <w:r w:rsidRPr="003975B6">
        <w:rPr>
          <w:i/>
          <w:sz w:val="18"/>
          <w:szCs w:val="18"/>
        </w:rPr>
        <w:t>How Emerging Democracies Reckon with Former Regimes</w:t>
      </w:r>
      <w:r>
        <w:rPr>
          <w:sz w:val="18"/>
          <w:szCs w:val="18"/>
        </w:rPr>
        <w:t xml:space="preserve">, ed. Neil </w:t>
      </w:r>
      <w:proofErr w:type="spellStart"/>
      <w:r>
        <w:rPr>
          <w:sz w:val="18"/>
          <w:szCs w:val="18"/>
        </w:rPr>
        <w:t>Kritz</w:t>
      </w:r>
      <w:proofErr w:type="spellEnd"/>
      <w:r>
        <w:rPr>
          <w:sz w:val="18"/>
          <w:szCs w:val="18"/>
        </w:rPr>
        <w:t xml:space="preserve"> </w:t>
      </w:r>
      <w:r w:rsidRPr="003975B6">
        <w:rPr>
          <w:sz w:val="18"/>
          <w:szCs w:val="18"/>
        </w:rPr>
        <w:t xml:space="preserve">(Washington, DC: United States Institute of Peace Studies, 1995), </w:t>
      </w:r>
      <w:r>
        <w:rPr>
          <w:sz w:val="18"/>
          <w:szCs w:val="18"/>
        </w:rPr>
        <w:t>3:</w:t>
      </w:r>
      <w:r w:rsidRPr="003975B6">
        <w:rPr>
          <w:sz w:val="18"/>
          <w:szCs w:val="18"/>
        </w:rPr>
        <w:t xml:space="preserve">293; and </w:t>
      </w:r>
      <w:proofErr w:type="spellStart"/>
      <w:r w:rsidRPr="003975B6">
        <w:rPr>
          <w:sz w:val="18"/>
          <w:szCs w:val="18"/>
        </w:rPr>
        <w:t>Momchil</w:t>
      </w:r>
      <w:proofErr w:type="spellEnd"/>
      <w:r w:rsidRPr="003975B6">
        <w:rPr>
          <w:sz w:val="18"/>
          <w:szCs w:val="18"/>
        </w:rPr>
        <w:t xml:space="preserve"> </w:t>
      </w:r>
      <w:proofErr w:type="spellStart"/>
      <w:r w:rsidRPr="003975B6">
        <w:rPr>
          <w:rFonts w:eastAsia="MS Mincho"/>
          <w:sz w:val="18"/>
          <w:szCs w:val="18"/>
          <w:lang w:eastAsia="ja-JP"/>
        </w:rPr>
        <w:t>Metodiev</w:t>
      </w:r>
      <w:proofErr w:type="spellEnd"/>
      <w:r w:rsidRPr="003975B6">
        <w:rPr>
          <w:rFonts w:eastAsia="MS Mincho"/>
          <w:sz w:val="18"/>
          <w:szCs w:val="18"/>
          <w:lang w:eastAsia="ja-JP"/>
        </w:rPr>
        <w:t xml:space="preserve">, “Bulgaria,” </w:t>
      </w:r>
      <w:r w:rsidRPr="003975B6">
        <w:rPr>
          <w:sz w:val="18"/>
          <w:szCs w:val="18"/>
        </w:rPr>
        <w:t xml:space="preserve">in Stan and </w:t>
      </w:r>
      <w:proofErr w:type="spellStart"/>
      <w:r w:rsidRPr="003975B6">
        <w:rPr>
          <w:sz w:val="18"/>
          <w:szCs w:val="18"/>
        </w:rPr>
        <w:t>Nedelsky</w:t>
      </w:r>
      <w:proofErr w:type="spellEnd"/>
      <w:r w:rsidRPr="003975B6">
        <w:rPr>
          <w:sz w:val="18"/>
          <w:szCs w:val="18"/>
        </w:rPr>
        <w:t>, eds.</w:t>
      </w:r>
      <w:r>
        <w:rPr>
          <w:sz w:val="18"/>
          <w:szCs w:val="18"/>
        </w:rPr>
        <w:t>,</w:t>
      </w:r>
      <w:r w:rsidRPr="003975B6">
        <w:rPr>
          <w:sz w:val="18"/>
          <w:szCs w:val="18"/>
        </w:rPr>
        <w:t xml:space="preserve"> </w:t>
      </w:r>
      <w:r w:rsidRPr="003975B6">
        <w:rPr>
          <w:i/>
          <w:sz w:val="18"/>
          <w:szCs w:val="18"/>
        </w:rPr>
        <w:t>Encyclopedia of Transitional Justice</w:t>
      </w:r>
      <w:r w:rsidRPr="003975B6">
        <w:rPr>
          <w:sz w:val="18"/>
          <w:szCs w:val="18"/>
        </w:rPr>
        <w:t>, 73-79</w:t>
      </w:r>
      <w:r w:rsidRPr="003975B6">
        <w:rPr>
          <w:i/>
          <w:sz w:val="18"/>
          <w:szCs w:val="18"/>
        </w:rPr>
        <w:t>.</w:t>
      </w:r>
    </w:p>
  </w:footnote>
  <w:footnote w:id="12">
    <w:p w:rsidR="00CF52CA" w:rsidRPr="003975B6" w:rsidRDefault="00CF52CA" w:rsidP="00CF52CA">
      <w:pPr>
        <w:spacing w:after="0" w:line="240" w:lineRule="auto"/>
        <w:rPr>
          <w:sz w:val="18"/>
          <w:szCs w:val="18"/>
        </w:rPr>
      </w:pPr>
      <w:r w:rsidRPr="003975B6">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3975B6">
        <w:rPr>
          <w:rFonts w:ascii="Times New Roman" w:hAnsi="Times New Roman" w:cs="Times New Roman"/>
          <w:sz w:val="18"/>
          <w:szCs w:val="18"/>
        </w:rPr>
        <w:t>“Bulgaria: Law for Temporary Introduction of Some Additional Requirements for the Members of the Executive Bodies of Scientific Organizations and the Higher Certifying Commission (“</w:t>
      </w:r>
      <w:proofErr w:type="spellStart"/>
      <w:r w:rsidRPr="003975B6">
        <w:rPr>
          <w:rFonts w:ascii="Times New Roman" w:hAnsi="Times New Roman" w:cs="Times New Roman"/>
          <w:sz w:val="18"/>
          <w:szCs w:val="18"/>
        </w:rPr>
        <w:t>Panev</w:t>
      </w:r>
      <w:proofErr w:type="spellEnd"/>
      <w:r w:rsidRPr="003975B6">
        <w:rPr>
          <w:rFonts w:ascii="Times New Roman" w:hAnsi="Times New Roman" w:cs="Times New Roman"/>
          <w:sz w:val="18"/>
          <w:szCs w:val="18"/>
        </w:rPr>
        <w:t xml:space="preserve"> Law”). December 9, 1992,” in </w:t>
      </w:r>
      <w:proofErr w:type="spellStart"/>
      <w:r>
        <w:rPr>
          <w:rFonts w:ascii="Times New Roman" w:hAnsi="Times New Roman" w:cs="Times New Roman"/>
          <w:sz w:val="18"/>
          <w:szCs w:val="18"/>
        </w:rPr>
        <w:t>Kritz</w:t>
      </w:r>
      <w:proofErr w:type="spellEnd"/>
      <w:r>
        <w:rPr>
          <w:rFonts w:ascii="Times New Roman" w:hAnsi="Times New Roman" w:cs="Times New Roman"/>
          <w:sz w:val="18"/>
          <w:szCs w:val="18"/>
        </w:rPr>
        <w:t xml:space="preserve">, ed., </w:t>
      </w:r>
      <w:r w:rsidRPr="003975B6">
        <w:rPr>
          <w:rFonts w:ascii="Times New Roman" w:hAnsi="Times New Roman" w:cs="Times New Roman"/>
          <w:i/>
          <w:sz w:val="18"/>
          <w:szCs w:val="18"/>
        </w:rPr>
        <w:t>Transitional Justice</w:t>
      </w:r>
      <w:r w:rsidRPr="00EA639D">
        <w:rPr>
          <w:rFonts w:ascii="Times New Roman" w:hAnsi="Times New Roman" w:cs="Times New Roman"/>
          <w:sz w:val="18"/>
          <w:szCs w:val="18"/>
        </w:rPr>
        <w:t xml:space="preserve">, </w:t>
      </w:r>
      <w:r w:rsidRPr="003975B6">
        <w:rPr>
          <w:rFonts w:ascii="Times New Roman" w:hAnsi="Times New Roman" w:cs="Times New Roman"/>
          <w:sz w:val="18"/>
          <w:szCs w:val="18"/>
        </w:rPr>
        <w:t>296-</w:t>
      </w:r>
      <w:r>
        <w:rPr>
          <w:rFonts w:ascii="Times New Roman" w:hAnsi="Times New Roman" w:cs="Times New Roman"/>
          <w:sz w:val="18"/>
          <w:szCs w:val="18"/>
        </w:rPr>
        <w:t>2</w:t>
      </w:r>
      <w:r w:rsidRPr="003975B6">
        <w:rPr>
          <w:rFonts w:ascii="Times New Roman" w:hAnsi="Times New Roman" w:cs="Times New Roman"/>
          <w:sz w:val="18"/>
          <w:szCs w:val="18"/>
        </w:rPr>
        <w:t>99</w:t>
      </w:r>
      <w:r>
        <w:rPr>
          <w:rFonts w:ascii="Times New Roman" w:hAnsi="Times New Roman" w:cs="Times New Roman"/>
          <w:sz w:val="18"/>
          <w:szCs w:val="18"/>
        </w:rPr>
        <w:t xml:space="preserve">, </w:t>
      </w:r>
      <w:r w:rsidRPr="003975B6">
        <w:rPr>
          <w:rFonts w:ascii="Times New Roman" w:hAnsi="Times New Roman" w:cs="Times New Roman"/>
          <w:sz w:val="18"/>
          <w:szCs w:val="18"/>
        </w:rPr>
        <w:t xml:space="preserve">and “Bulgaria: Constitutional Court Decision on the </w:t>
      </w:r>
      <w:proofErr w:type="spellStart"/>
      <w:r w:rsidRPr="003975B6">
        <w:rPr>
          <w:rFonts w:ascii="Times New Roman" w:hAnsi="Times New Roman" w:cs="Times New Roman"/>
          <w:sz w:val="18"/>
          <w:szCs w:val="18"/>
        </w:rPr>
        <w:t>Panev</w:t>
      </w:r>
      <w:proofErr w:type="spellEnd"/>
      <w:r w:rsidRPr="003975B6">
        <w:rPr>
          <w:rFonts w:ascii="Times New Roman" w:hAnsi="Times New Roman" w:cs="Times New Roman"/>
          <w:sz w:val="18"/>
          <w:szCs w:val="18"/>
        </w:rPr>
        <w:t xml:space="preserve"> Law, Constitutional Court Case No. 32, Decision No. 1 (February 11, 1993),”</w:t>
      </w:r>
      <w:r>
        <w:rPr>
          <w:rFonts w:ascii="Times New Roman" w:hAnsi="Times New Roman" w:cs="Times New Roman"/>
          <w:sz w:val="18"/>
          <w:szCs w:val="18"/>
        </w:rPr>
        <w:t xml:space="preserve"> in </w:t>
      </w:r>
      <w:proofErr w:type="spellStart"/>
      <w:r>
        <w:rPr>
          <w:rFonts w:ascii="Times New Roman" w:hAnsi="Times New Roman" w:cs="Times New Roman"/>
          <w:sz w:val="18"/>
          <w:szCs w:val="18"/>
        </w:rPr>
        <w:t>Kritz</w:t>
      </w:r>
      <w:proofErr w:type="spellEnd"/>
      <w:r>
        <w:rPr>
          <w:rFonts w:ascii="Times New Roman" w:hAnsi="Times New Roman" w:cs="Times New Roman"/>
          <w:sz w:val="18"/>
          <w:szCs w:val="18"/>
        </w:rPr>
        <w:t xml:space="preserve">, ed., </w:t>
      </w:r>
      <w:r w:rsidRPr="003975B6">
        <w:rPr>
          <w:rFonts w:ascii="Times New Roman" w:hAnsi="Times New Roman" w:cs="Times New Roman"/>
          <w:i/>
          <w:sz w:val="18"/>
          <w:szCs w:val="18"/>
        </w:rPr>
        <w:t>Transitional Justice</w:t>
      </w:r>
      <w:r w:rsidRPr="00EA639D">
        <w:rPr>
          <w:rFonts w:ascii="Times New Roman" w:hAnsi="Times New Roman" w:cs="Times New Roman"/>
          <w:sz w:val="18"/>
          <w:szCs w:val="18"/>
        </w:rPr>
        <w:t xml:space="preserve">, </w:t>
      </w:r>
      <w:r w:rsidRPr="003975B6">
        <w:rPr>
          <w:rFonts w:ascii="Times New Roman" w:hAnsi="Times New Roman" w:cs="Times New Roman"/>
          <w:sz w:val="18"/>
          <w:szCs w:val="18"/>
        </w:rPr>
        <w:t>300-302.</w:t>
      </w:r>
    </w:p>
  </w:footnote>
  <w:footnote w:id="13">
    <w:p w:rsidR="00CF52CA" w:rsidRPr="003975B6" w:rsidRDefault="00CF52CA" w:rsidP="00CF52CA">
      <w:pPr>
        <w:pStyle w:val="FootnoteText"/>
        <w:rPr>
          <w:sz w:val="18"/>
          <w:szCs w:val="18"/>
        </w:rPr>
      </w:pPr>
      <w:r w:rsidRPr="003975B6">
        <w:rPr>
          <w:rStyle w:val="FootnoteReference"/>
          <w:sz w:val="18"/>
          <w:szCs w:val="18"/>
        </w:rPr>
        <w:footnoteRef/>
      </w:r>
      <w:r w:rsidRPr="003975B6">
        <w:rPr>
          <w:sz w:val="18"/>
          <w:szCs w:val="18"/>
        </w:rPr>
        <w:t xml:space="preserve"> </w:t>
      </w:r>
      <w:proofErr w:type="spellStart"/>
      <w:r w:rsidRPr="003975B6">
        <w:rPr>
          <w:sz w:val="18"/>
          <w:szCs w:val="18"/>
        </w:rPr>
        <w:t>Metodiev</w:t>
      </w:r>
      <w:proofErr w:type="spellEnd"/>
      <w:r w:rsidRPr="003975B6">
        <w:rPr>
          <w:sz w:val="18"/>
          <w:szCs w:val="18"/>
        </w:rPr>
        <w:t>, “Bulgaria.”</w:t>
      </w:r>
    </w:p>
  </w:footnote>
  <w:footnote w:id="14">
    <w:p w:rsidR="00CF52CA" w:rsidRPr="003F0880" w:rsidRDefault="00CF52CA" w:rsidP="00CF52CA">
      <w:pPr>
        <w:spacing w:after="0" w:line="240" w:lineRule="auto"/>
        <w:rPr>
          <w:rFonts w:ascii="Times New Roman" w:hAnsi="Times New Roman" w:cs="Times New Roman"/>
          <w:sz w:val="18"/>
          <w:szCs w:val="18"/>
        </w:rPr>
      </w:pPr>
      <w:r w:rsidRPr="003F0880">
        <w:rPr>
          <w:rStyle w:val="FootnoteReference"/>
          <w:rFonts w:ascii="Times New Roman" w:hAnsi="Times New Roman" w:cs="Times New Roman"/>
          <w:sz w:val="18"/>
          <w:szCs w:val="18"/>
        </w:rPr>
        <w:footnoteRef/>
      </w:r>
      <w:r w:rsidRPr="003F0880">
        <w:rPr>
          <w:rFonts w:ascii="Times New Roman" w:hAnsi="Times New Roman" w:cs="Times New Roman"/>
          <w:sz w:val="18"/>
          <w:szCs w:val="18"/>
        </w:rPr>
        <w:t xml:space="preserve"> </w:t>
      </w:r>
      <w:r>
        <w:rPr>
          <w:rFonts w:ascii="Times New Roman" w:hAnsi="Times New Roman" w:cs="Times New Roman"/>
          <w:sz w:val="18"/>
          <w:szCs w:val="18"/>
        </w:rPr>
        <w:t>“</w:t>
      </w:r>
      <w:r w:rsidRPr="003F0880">
        <w:rPr>
          <w:rFonts w:ascii="Times New Roman" w:hAnsi="Times New Roman" w:cs="Times New Roman"/>
          <w:sz w:val="18"/>
          <w:szCs w:val="18"/>
        </w:rPr>
        <w:t>Law for Access and Disclosure of the Documents and Announcing Affiliations of Bulgarian Citizens to the State Security and the Intelligence Services of the Bulgarian National Army</w:t>
      </w:r>
      <w:r>
        <w:rPr>
          <w:rFonts w:ascii="Times New Roman" w:hAnsi="Times New Roman" w:cs="Times New Roman"/>
          <w:sz w:val="18"/>
          <w:szCs w:val="18"/>
        </w:rPr>
        <w:t>,” December 2006, available at:</w:t>
      </w:r>
      <w:r w:rsidRPr="003F0880">
        <w:rPr>
          <w:rFonts w:ascii="Times New Roman" w:hAnsi="Times New Roman" w:cs="Times New Roman"/>
          <w:sz w:val="18"/>
          <w:szCs w:val="18"/>
        </w:rPr>
        <w:t xml:space="preserve"> http://lex.bg/bg</w:t>
      </w:r>
      <w:r>
        <w:rPr>
          <w:rFonts w:ascii="Times New Roman" w:hAnsi="Times New Roman" w:cs="Times New Roman"/>
          <w:sz w:val="18"/>
          <w:szCs w:val="18"/>
        </w:rPr>
        <w:t>/laws/ldoc/2135540283,</w:t>
      </w:r>
      <w:r w:rsidRPr="003F0880">
        <w:rPr>
          <w:rFonts w:ascii="Times New Roman" w:hAnsi="Times New Roman" w:cs="Times New Roman"/>
          <w:sz w:val="18"/>
          <w:szCs w:val="18"/>
        </w:rPr>
        <w:t xml:space="preserve"> and Bulgarian Dossier Commission, </w:t>
      </w:r>
      <w:r>
        <w:rPr>
          <w:rFonts w:ascii="Times New Roman" w:hAnsi="Times New Roman" w:cs="Times New Roman"/>
          <w:sz w:val="18"/>
          <w:szCs w:val="18"/>
        </w:rPr>
        <w:t xml:space="preserve">“The Curtain Is Raised,” no date, available at: </w:t>
      </w:r>
      <w:r w:rsidRPr="003F0880">
        <w:rPr>
          <w:rFonts w:ascii="Times New Roman" w:hAnsi="Times New Roman" w:cs="Times New Roman"/>
          <w:sz w:val="18"/>
          <w:szCs w:val="18"/>
        </w:rPr>
        <w:t xml:space="preserve">http://www.comdos.bg/, </w:t>
      </w:r>
      <w:r>
        <w:rPr>
          <w:rFonts w:ascii="Times New Roman" w:hAnsi="Times New Roman" w:cs="Times New Roman"/>
          <w:sz w:val="18"/>
          <w:szCs w:val="18"/>
        </w:rPr>
        <w:t xml:space="preserve">both </w:t>
      </w:r>
      <w:r w:rsidRPr="003F0880">
        <w:rPr>
          <w:rFonts w:ascii="Times New Roman" w:hAnsi="Times New Roman" w:cs="Times New Roman"/>
          <w:sz w:val="18"/>
          <w:szCs w:val="18"/>
        </w:rPr>
        <w:t xml:space="preserve">accessed </w:t>
      </w:r>
      <w:r>
        <w:rPr>
          <w:rFonts w:ascii="Times New Roman" w:hAnsi="Times New Roman" w:cs="Times New Roman"/>
          <w:sz w:val="18"/>
          <w:szCs w:val="18"/>
        </w:rPr>
        <w:t xml:space="preserve">on 26 August </w:t>
      </w:r>
      <w:r w:rsidRPr="003F0880">
        <w:rPr>
          <w:rFonts w:ascii="Times New Roman" w:hAnsi="Times New Roman" w:cs="Times New Roman"/>
          <w:sz w:val="18"/>
          <w:szCs w:val="18"/>
        </w:rPr>
        <w:t>2016.</w:t>
      </w:r>
    </w:p>
  </w:footnote>
  <w:footnote w:id="15">
    <w:p w:rsidR="00CF52CA" w:rsidRPr="003F0880" w:rsidRDefault="00CF52CA" w:rsidP="00CF52CA">
      <w:pPr>
        <w:pStyle w:val="FootnoteText"/>
        <w:rPr>
          <w:sz w:val="18"/>
          <w:szCs w:val="18"/>
        </w:rPr>
      </w:pPr>
      <w:r w:rsidRPr="003F0880">
        <w:rPr>
          <w:rStyle w:val="FootnoteReference"/>
          <w:sz w:val="18"/>
          <w:szCs w:val="18"/>
        </w:rPr>
        <w:footnoteRef/>
      </w:r>
      <w:r w:rsidRPr="003F0880">
        <w:rPr>
          <w:sz w:val="18"/>
          <w:szCs w:val="18"/>
        </w:rPr>
        <w:t xml:space="preserve"> Lavinia Stan, “Civil Society and Post-communist Transitional Justice in Romania,” in </w:t>
      </w:r>
      <w:r w:rsidRPr="003F0880">
        <w:rPr>
          <w:i/>
          <w:sz w:val="18"/>
          <w:szCs w:val="18"/>
        </w:rPr>
        <w:t>Transitional Justice and Civil Society in the Balkans</w:t>
      </w:r>
      <w:r>
        <w:rPr>
          <w:sz w:val="18"/>
          <w:szCs w:val="18"/>
        </w:rPr>
        <w:t xml:space="preserve">, eds. </w:t>
      </w:r>
      <w:hyperlink r:id="rId1" w:history="1">
        <w:proofErr w:type="spellStart"/>
        <w:r w:rsidRPr="003F0880">
          <w:rPr>
            <w:rStyle w:val="Hyperlink"/>
            <w:color w:val="auto"/>
            <w:sz w:val="18"/>
            <w:szCs w:val="18"/>
            <w:u w:val="none"/>
            <w:bdr w:val="none" w:sz="0" w:space="0" w:color="auto" w:frame="1"/>
            <w:shd w:val="clear" w:color="auto" w:fill="FFFFFF"/>
          </w:rPr>
          <w:t>Olivera</w:t>
        </w:r>
        <w:proofErr w:type="spellEnd"/>
        <w:r w:rsidRPr="003F0880">
          <w:rPr>
            <w:rStyle w:val="Hyperlink"/>
            <w:color w:val="auto"/>
            <w:sz w:val="18"/>
            <w:szCs w:val="18"/>
            <w:u w:val="none"/>
            <w:bdr w:val="none" w:sz="0" w:space="0" w:color="auto" w:frame="1"/>
            <w:shd w:val="clear" w:color="auto" w:fill="FFFFFF"/>
          </w:rPr>
          <w:t xml:space="preserve"> </w:t>
        </w:r>
        <w:proofErr w:type="spellStart"/>
        <w:r w:rsidRPr="003F0880">
          <w:rPr>
            <w:rStyle w:val="Hyperlink"/>
            <w:color w:val="auto"/>
            <w:sz w:val="18"/>
            <w:szCs w:val="18"/>
            <w:u w:val="none"/>
            <w:bdr w:val="none" w:sz="0" w:space="0" w:color="auto" w:frame="1"/>
            <w:shd w:val="clear" w:color="auto" w:fill="FFFFFF"/>
          </w:rPr>
          <w:t>Simić</w:t>
        </w:r>
        <w:proofErr w:type="spellEnd"/>
      </w:hyperlink>
      <w:r w:rsidRPr="003F0880">
        <w:rPr>
          <w:sz w:val="18"/>
          <w:szCs w:val="18"/>
        </w:rPr>
        <w:t xml:space="preserve"> and </w:t>
      </w:r>
      <w:hyperlink r:id="rId2" w:history="1">
        <w:proofErr w:type="spellStart"/>
        <w:r w:rsidRPr="003F0880">
          <w:rPr>
            <w:rStyle w:val="Hyperlink"/>
            <w:color w:val="auto"/>
            <w:sz w:val="18"/>
            <w:szCs w:val="18"/>
            <w:u w:val="none"/>
            <w:bdr w:val="none" w:sz="0" w:space="0" w:color="auto" w:frame="1"/>
            <w:shd w:val="clear" w:color="auto" w:fill="FFFFFF"/>
          </w:rPr>
          <w:t>Zala</w:t>
        </w:r>
        <w:proofErr w:type="spellEnd"/>
        <w:r w:rsidRPr="003F0880">
          <w:rPr>
            <w:rStyle w:val="Hyperlink"/>
            <w:color w:val="auto"/>
            <w:sz w:val="18"/>
            <w:szCs w:val="18"/>
            <w:u w:val="none"/>
            <w:bdr w:val="none" w:sz="0" w:space="0" w:color="auto" w:frame="1"/>
            <w:shd w:val="clear" w:color="auto" w:fill="FFFFFF"/>
          </w:rPr>
          <w:t xml:space="preserve"> </w:t>
        </w:r>
        <w:proofErr w:type="spellStart"/>
        <w:r w:rsidRPr="003F0880">
          <w:rPr>
            <w:rStyle w:val="Hyperlink"/>
            <w:color w:val="auto"/>
            <w:sz w:val="18"/>
            <w:szCs w:val="18"/>
            <w:u w:val="none"/>
            <w:bdr w:val="none" w:sz="0" w:space="0" w:color="auto" w:frame="1"/>
            <w:shd w:val="clear" w:color="auto" w:fill="FFFFFF"/>
          </w:rPr>
          <w:t>Volčič</w:t>
        </w:r>
        <w:proofErr w:type="spellEnd"/>
      </w:hyperlink>
      <w:r w:rsidRPr="003F0880">
        <w:rPr>
          <w:sz w:val="18"/>
          <w:szCs w:val="18"/>
        </w:rPr>
        <w:t xml:space="preserve"> (</w:t>
      </w:r>
      <w:r>
        <w:rPr>
          <w:sz w:val="18"/>
          <w:szCs w:val="18"/>
        </w:rPr>
        <w:t xml:space="preserve">London: </w:t>
      </w:r>
      <w:r w:rsidRPr="003F0880">
        <w:rPr>
          <w:sz w:val="18"/>
          <w:szCs w:val="18"/>
        </w:rPr>
        <w:t>Springer</w:t>
      </w:r>
      <w:r w:rsidRPr="003F0880">
        <w:rPr>
          <w:i/>
          <w:sz w:val="18"/>
          <w:szCs w:val="18"/>
        </w:rPr>
        <w:t xml:space="preserve">, </w:t>
      </w:r>
      <w:r w:rsidRPr="003F0880">
        <w:rPr>
          <w:sz w:val="18"/>
          <w:szCs w:val="18"/>
        </w:rPr>
        <w:t>2013), 22.</w:t>
      </w:r>
    </w:p>
  </w:footnote>
  <w:footnote w:id="16">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Stan, </w:t>
      </w:r>
      <w:r w:rsidRPr="001C04F2">
        <w:rPr>
          <w:i/>
          <w:sz w:val="18"/>
          <w:szCs w:val="18"/>
        </w:rPr>
        <w:t>Transitional Justice in Romania</w:t>
      </w:r>
      <w:r w:rsidRPr="001C04F2">
        <w:rPr>
          <w:sz w:val="18"/>
          <w:szCs w:val="18"/>
        </w:rPr>
        <w:t>.</w:t>
      </w:r>
    </w:p>
  </w:footnote>
  <w:footnote w:id="17">
    <w:p w:rsidR="00CF52CA" w:rsidRPr="001C04F2" w:rsidRDefault="00CF52CA" w:rsidP="00CF52CA">
      <w:pPr>
        <w:pStyle w:val="FootnoteText"/>
        <w:rPr>
          <w:sz w:val="18"/>
          <w:szCs w:val="18"/>
        </w:rPr>
      </w:pPr>
      <w:r w:rsidRPr="001C04F2">
        <w:rPr>
          <w:rStyle w:val="FootnoteReference"/>
          <w:sz w:val="18"/>
          <w:szCs w:val="18"/>
        </w:rPr>
        <w:footnoteRef/>
      </w:r>
      <w:r>
        <w:rPr>
          <w:sz w:val="18"/>
          <w:szCs w:val="18"/>
        </w:rPr>
        <w:t xml:space="preserve"> Author’s interviews with m</w:t>
      </w:r>
      <w:r w:rsidRPr="001C04F2">
        <w:rPr>
          <w:sz w:val="18"/>
          <w:szCs w:val="18"/>
        </w:rPr>
        <w:t xml:space="preserve">embers of the Collegium, </w:t>
      </w:r>
      <w:r>
        <w:rPr>
          <w:sz w:val="18"/>
          <w:szCs w:val="18"/>
        </w:rPr>
        <w:t>CNSAS</w:t>
      </w:r>
      <w:r w:rsidRPr="001C04F2">
        <w:rPr>
          <w:sz w:val="18"/>
          <w:szCs w:val="18"/>
        </w:rPr>
        <w:t>, Bucharest, Romania, October 2012.</w:t>
      </w:r>
    </w:p>
  </w:footnote>
  <w:footnote w:id="18">
    <w:p w:rsidR="00CF52CA" w:rsidRPr="001C04F2" w:rsidRDefault="00CF52CA" w:rsidP="00CF52CA">
      <w:pPr>
        <w:spacing w:after="0" w:line="240" w:lineRule="auto"/>
        <w:rPr>
          <w:rFonts w:ascii="Times New Roman" w:hAnsi="Times New Roman" w:cs="Times New Roman"/>
          <w:sz w:val="18"/>
          <w:szCs w:val="18"/>
        </w:rPr>
      </w:pPr>
      <w:r w:rsidRPr="001C04F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Lustration Act of 11 </w:t>
      </w:r>
      <w:r w:rsidRPr="001C04F2">
        <w:rPr>
          <w:rFonts w:ascii="Times New Roman" w:hAnsi="Times New Roman" w:cs="Times New Roman"/>
          <w:sz w:val="18"/>
          <w:szCs w:val="18"/>
        </w:rPr>
        <w:t>April</w:t>
      </w:r>
      <w:r>
        <w:rPr>
          <w:rFonts w:ascii="Times New Roman" w:hAnsi="Times New Roman" w:cs="Times New Roman"/>
          <w:sz w:val="18"/>
          <w:szCs w:val="18"/>
        </w:rPr>
        <w:t xml:space="preserve"> 1997,</w:t>
      </w:r>
      <w:r w:rsidRPr="001C04F2">
        <w:rPr>
          <w:rFonts w:ascii="Times New Roman" w:hAnsi="Times New Roman" w:cs="Times New Roman"/>
          <w:sz w:val="18"/>
          <w:szCs w:val="18"/>
        </w:rPr>
        <w:t xml:space="preserve"> Law on Disclosing Work for or Service in the State's Security </w:t>
      </w:r>
      <w:r>
        <w:rPr>
          <w:rFonts w:ascii="Times New Roman" w:hAnsi="Times New Roman" w:cs="Times New Roman"/>
          <w:sz w:val="18"/>
          <w:szCs w:val="18"/>
        </w:rPr>
        <w:t>Services or Collaboration with T</w:t>
      </w:r>
      <w:r w:rsidRPr="001C04F2">
        <w:rPr>
          <w:rFonts w:ascii="Times New Roman" w:hAnsi="Times New Roman" w:cs="Times New Roman"/>
          <w:sz w:val="18"/>
          <w:szCs w:val="18"/>
        </w:rPr>
        <w:t>hem between 1944 and 1990 by Persons Exercising Public Functions</w:t>
      </w:r>
      <w:r w:rsidRPr="001C04F2">
        <w:rPr>
          <w:rStyle w:val="ju-005fpara--char"/>
          <w:rFonts w:ascii="Times New Roman" w:hAnsi="Times New Roman" w:cs="Times New Roman"/>
          <w:iCs/>
          <w:sz w:val="18"/>
          <w:szCs w:val="18"/>
        </w:rPr>
        <w:t>; and</w:t>
      </w:r>
      <w:r w:rsidRPr="001C04F2">
        <w:rPr>
          <w:rStyle w:val="ju-005fpara--char"/>
          <w:rFonts w:ascii="Times New Roman" w:hAnsi="Times New Roman" w:cs="Times New Roman"/>
          <w:i/>
          <w:iCs/>
          <w:sz w:val="18"/>
          <w:szCs w:val="18"/>
        </w:rPr>
        <w:t xml:space="preserve"> </w:t>
      </w:r>
      <w:r>
        <w:rPr>
          <w:rFonts w:ascii="Times New Roman" w:hAnsi="Times New Roman" w:cs="Times New Roman"/>
          <w:sz w:val="18"/>
          <w:szCs w:val="18"/>
        </w:rPr>
        <w:t>Act of 18 October 2006, On the Disclosure of Information on Documents of State S</w:t>
      </w:r>
      <w:r w:rsidRPr="009751E2">
        <w:rPr>
          <w:rFonts w:ascii="Times New Roman" w:hAnsi="Times New Roman" w:cs="Times New Roman"/>
          <w:sz w:val="18"/>
          <w:szCs w:val="18"/>
        </w:rPr>
        <w:t xml:space="preserve">ecurity in </w:t>
      </w:r>
      <w:r>
        <w:rPr>
          <w:rFonts w:ascii="Times New Roman" w:hAnsi="Times New Roman" w:cs="Times New Roman"/>
          <w:sz w:val="18"/>
          <w:szCs w:val="18"/>
        </w:rPr>
        <w:t>1944-1990 and the Content of These D</w:t>
      </w:r>
      <w:r w:rsidRPr="009751E2">
        <w:rPr>
          <w:rFonts w:ascii="Times New Roman" w:hAnsi="Times New Roman" w:cs="Times New Roman"/>
          <w:sz w:val="18"/>
          <w:szCs w:val="18"/>
        </w:rPr>
        <w:t>ocuments</w:t>
      </w:r>
      <w:r w:rsidRPr="001C04F2">
        <w:rPr>
          <w:rFonts w:ascii="Times New Roman" w:hAnsi="Times New Roman" w:cs="Times New Roman"/>
          <w:sz w:val="18"/>
          <w:szCs w:val="18"/>
        </w:rPr>
        <w:t>. For a comparison of the Polish and Romanian cases of late lustration</w:t>
      </w:r>
      <w:r>
        <w:rPr>
          <w:rFonts w:ascii="Times New Roman" w:hAnsi="Times New Roman" w:cs="Times New Roman"/>
          <w:sz w:val="18"/>
          <w:szCs w:val="18"/>
        </w:rPr>
        <w:t>,</w:t>
      </w:r>
      <w:r w:rsidRPr="001C04F2">
        <w:rPr>
          <w:rFonts w:ascii="Times New Roman" w:hAnsi="Times New Roman" w:cs="Times New Roman"/>
          <w:sz w:val="18"/>
          <w:szCs w:val="18"/>
        </w:rPr>
        <w:t xml:space="preserve"> see Cynthia M. Horne, “Late Lustration Programs in Romania and Poland: Supporting or Undermining Democratic Transitions</w:t>
      </w:r>
      <w:proofErr w:type="gramStart"/>
      <w:r w:rsidRPr="001C04F2">
        <w:rPr>
          <w:rFonts w:ascii="Times New Roman" w:hAnsi="Times New Roman" w:cs="Times New Roman"/>
          <w:sz w:val="18"/>
          <w:szCs w:val="18"/>
        </w:rPr>
        <w:t>?,</w:t>
      </w:r>
      <w:proofErr w:type="gramEnd"/>
      <w:r w:rsidRPr="001C04F2">
        <w:rPr>
          <w:rFonts w:ascii="Times New Roman" w:hAnsi="Times New Roman" w:cs="Times New Roman"/>
          <w:sz w:val="18"/>
          <w:szCs w:val="18"/>
        </w:rPr>
        <w:t xml:space="preserve">” </w:t>
      </w:r>
      <w:r w:rsidRPr="001C04F2">
        <w:rPr>
          <w:rFonts w:ascii="Times New Roman" w:hAnsi="Times New Roman" w:cs="Times New Roman"/>
          <w:i/>
          <w:sz w:val="18"/>
          <w:szCs w:val="18"/>
        </w:rPr>
        <w:t xml:space="preserve">Democratization </w:t>
      </w:r>
      <w:r w:rsidRPr="001C04F2">
        <w:rPr>
          <w:rFonts w:ascii="Times New Roman" w:hAnsi="Times New Roman" w:cs="Times New Roman"/>
          <w:sz w:val="18"/>
          <w:szCs w:val="18"/>
        </w:rPr>
        <w:t>16:</w:t>
      </w:r>
      <w:r>
        <w:rPr>
          <w:rFonts w:ascii="Times New Roman" w:hAnsi="Times New Roman" w:cs="Times New Roman"/>
          <w:sz w:val="18"/>
          <w:szCs w:val="18"/>
        </w:rPr>
        <w:t>2 (2009): 344-376.</w:t>
      </w:r>
    </w:p>
  </w:footnote>
  <w:footnote w:id="19">
    <w:p w:rsidR="00CF52CA" w:rsidRPr="001C04F2" w:rsidRDefault="00CF52CA" w:rsidP="00CF52CA">
      <w:pPr>
        <w:spacing w:after="0" w:line="240" w:lineRule="auto"/>
        <w:rPr>
          <w:rFonts w:ascii="Times New Roman" w:hAnsi="Times New Roman" w:cs="Times New Roman"/>
          <w:sz w:val="18"/>
          <w:szCs w:val="18"/>
        </w:rPr>
      </w:pPr>
      <w:r w:rsidRPr="001C04F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Lithuania’s Lustration Law is Law VIII-1436 of 23 November 1999</w:t>
      </w:r>
      <w:r w:rsidRPr="001C04F2">
        <w:rPr>
          <w:rFonts w:ascii="Times New Roman" w:hAnsi="Times New Roman" w:cs="Times New Roman"/>
          <w:sz w:val="18"/>
          <w:szCs w:val="18"/>
        </w:rPr>
        <w:t xml:space="preserve"> On the Reg</w:t>
      </w:r>
      <w:r>
        <w:rPr>
          <w:rFonts w:ascii="Times New Roman" w:hAnsi="Times New Roman" w:cs="Times New Roman"/>
          <w:sz w:val="18"/>
          <w:szCs w:val="18"/>
        </w:rPr>
        <w:t>istration and Acknowledgment (“C</w:t>
      </w:r>
      <w:r w:rsidRPr="001C04F2">
        <w:rPr>
          <w:rFonts w:ascii="Times New Roman" w:hAnsi="Times New Roman" w:cs="Times New Roman"/>
          <w:sz w:val="18"/>
          <w:szCs w:val="18"/>
        </w:rPr>
        <w:t>onfession”) of Those Who Secretly Collaborated wi</w:t>
      </w:r>
      <w:r>
        <w:rPr>
          <w:rFonts w:ascii="Times New Roman" w:hAnsi="Times New Roman" w:cs="Times New Roman"/>
          <w:sz w:val="18"/>
          <w:szCs w:val="18"/>
        </w:rPr>
        <w:t>th the Soviet Special Services. In Hungary Act 93/2000 extended lustration for four years, and increased the</w:t>
      </w:r>
      <w:r w:rsidRPr="001C04F2">
        <w:rPr>
          <w:rFonts w:ascii="Times New Roman" w:hAnsi="Times New Roman" w:cs="Times New Roman"/>
          <w:sz w:val="18"/>
          <w:szCs w:val="18"/>
        </w:rPr>
        <w:t xml:space="preserve"> number of people to be screened</w:t>
      </w:r>
      <w:r>
        <w:rPr>
          <w:rFonts w:ascii="Times New Roman" w:hAnsi="Times New Roman" w:cs="Times New Roman"/>
          <w:sz w:val="18"/>
          <w:szCs w:val="18"/>
        </w:rPr>
        <w:t>, and Act 3/2003</w:t>
      </w:r>
      <w:r w:rsidRPr="001C04F2">
        <w:rPr>
          <w:rFonts w:ascii="Times New Roman" w:hAnsi="Times New Roman" w:cs="Times New Roman"/>
          <w:sz w:val="18"/>
          <w:szCs w:val="18"/>
        </w:rPr>
        <w:t xml:space="preserve"> created </w:t>
      </w:r>
      <w:r>
        <w:rPr>
          <w:rFonts w:ascii="Times New Roman" w:hAnsi="Times New Roman" w:cs="Times New Roman"/>
          <w:sz w:val="18"/>
          <w:szCs w:val="18"/>
        </w:rPr>
        <w:t xml:space="preserve">the </w:t>
      </w:r>
      <w:r w:rsidRPr="001C04F2">
        <w:rPr>
          <w:rFonts w:ascii="Times New Roman" w:hAnsi="Times New Roman" w:cs="Times New Roman"/>
          <w:sz w:val="18"/>
          <w:szCs w:val="18"/>
        </w:rPr>
        <w:t xml:space="preserve">Historical Archives and amended </w:t>
      </w:r>
      <w:r>
        <w:rPr>
          <w:rFonts w:ascii="Times New Roman" w:hAnsi="Times New Roman" w:cs="Times New Roman"/>
          <w:sz w:val="18"/>
          <w:szCs w:val="18"/>
        </w:rPr>
        <w:t xml:space="preserve">the </w:t>
      </w:r>
      <w:r w:rsidRPr="001C04F2">
        <w:rPr>
          <w:rFonts w:ascii="Times New Roman" w:hAnsi="Times New Roman" w:cs="Times New Roman"/>
          <w:sz w:val="18"/>
          <w:szCs w:val="18"/>
        </w:rPr>
        <w:t>lustration law to include al</w:t>
      </w:r>
      <w:r>
        <w:rPr>
          <w:rFonts w:ascii="Times New Roman" w:hAnsi="Times New Roman" w:cs="Times New Roman"/>
          <w:sz w:val="18"/>
          <w:szCs w:val="18"/>
        </w:rPr>
        <w:t>l secret service divisions. In the Czech Republic</w:t>
      </w:r>
      <w:r w:rsidRPr="001C04F2">
        <w:rPr>
          <w:rFonts w:ascii="Times New Roman" w:hAnsi="Times New Roman" w:cs="Times New Roman"/>
          <w:sz w:val="18"/>
          <w:szCs w:val="18"/>
        </w:rPr>
        <w:t xml:space="preserve"> A</w:t>
      </w:r>
      <w:r>
        <w:rPr>
          <w:rFonts w:ascii="Times New Roman" w:hAnsi="Times New Roman" w:cs="Times New Roman"/>
          <w:sz w:val="18"/>
          <w:szCs w:val="18"/>
        </w:rPr>
        <w:t>ct 422/2000 indefinitely extended lustration law</w:t>
      </w:r>
      <w:r w:rsidRPr="001C04F2">
        <w:rPr>
          <w:rFonts w:ascii="Times New Roman" w:hAnsi="Times New Roman" w:cs="Times New Roman"/>
          <w:sz w:val="18"/>
          <w:szCs w:val="18"/>
        </w:rPr>
        <w:t>.</w:t>
      </w:r>
    </w:p>
  </w:footnote>
  <w:footnote w:id="20">
    <w:p w:rsidR="00CF52CA" w:rsidRPr="001C04F2" w:rsidRDefault="00CF52CA" w:rsidP="00CF52CA">
      <w:pPr>
        <w:spacing w:after="0" w:line="240" w:lineRule="auto"/>
        <w:rPr>
          <w:rFonts w:ascii="Times New Roman" w:hAnsi="Times New Roman" w:cs="Times New Roman"/>
          <w:sz w:val="18"/>
          <w:szCs w:val="18"/>
        </w:rPr>
      </w:pPr>
      <w:r w:rsidRPr="001C04F2">
        <w:rPr>
          <w:rStyle w:val="FootnoteReference"/>
          <w:rFonts w:ascii="Times New Roman" w:hAnsi="Times New Roman" w:cs="Times New Roman"/>
          <w:sz w:val="18"/>
          <w:szCs w:val="18"/>
        </w:rPr>
        <w:footnoteRef/>
      </w:r>
      <w:r w:rsidRPr="001C04F2">
        <w:rPr>
          <w:rFonts w:ascii="Times New Roman" w:hAnsi="Times New Roman" w:cs="Times New Roman"/>
          <w:sz w:val="18"/>
          <w:szCs w:val="18"/>
        </w:rPr>
        <w:t xml:space="preserve"> </w:t>
      </w:r>
      <w:proofErr w:type="spellStart"/>
      <w:r w:rsidRPr="001C04F2">
        <w:rPr>
          <w:rFonts w:ascii="Times New Roman" w:hAnsi="Times New Roman" w:cs="Times New Roman"/>
          <w:sz w:val="18"/>
          <w:szCs w:val="18"/>
        </w:rPr>
        <w:t>Rafał</w:t>
      </w:r>
      <w:proofErr w:type="spellEnd"/>
      <w:r w:rsidRPr="001C04F2">
        <w:rPr>
          <w:rFonts w:ascii="Times New Roman" w:hAnsi="Times New Roman" w:cs="Times New Roman"/>
          <w:sz w:val="18"/>
          <w:szCs w:val="18"/>
        </w:rPr>
        <w:t xml:space="preserve"> </w:t>
      </w:r>
      <w:proofErr w:type="spellStart"/>
      <w:r w:rsidRPr="001C04F2">
        <w:rPr>
          <w:rFonts w:ascii="Times New Roman" w:hAnsi="Times New Roman" w:cs="Times New Roman"/>
          <w:sz w:val="18"/>
          <w:szCs w:val="18"/>
        </w:rPr>
        <w:t>Leśkiewicz</w:t>
      </w:r>
      <w:proofErr w:type="spellEnd"/>
      <w:r w:rsidRPr="001C04F2">
        <w:rPr>
          <w:rFonts w:ascii="Times New Roman" w:hAnsi="Times New Roman" w:cs="Times New Roman"/>
          <w:sz w:val="18"/>
          <w:szCs w:val="18"/>
        </w:rPr>
        <w:t xml:space="preserve"> and </w:t>
      </w:r>
      <w:proofErr w:type="spellStart"/>
      <w:r>
        <w:rPr>
          <w:rFonts w:ascii="Times New Roman" w:hAnsi="Times New Roman" w:cs="Times New Roman"/>
          <w:sz w:val="18"/>
          <w:szCs w:val="18"/>
        </w:rPr>
        <w:t>Pavel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Žáček</w:t>
      </w:r>
      <w:proofErr w:type="spellEnd"/>
      <w:r>
        <w:rPr>
          <w:rFonts w:ascii="Times New Roman" w:hAnsi="Times New Roman" w:cs="Times New Roman"/>
          <w:sz w:val="18"/>
          <w:szCs w:val="18"/>
        </w:rPr>
        <w:t xml:space="preserve">, </w:t>
      </w:r>
      <w:r w:rsidRPr="001C04F2">
        <w:rPr>
          <w:rFonts w:ascii="Times New Roman" w:hAnsi="Times New Roman" w:cs="Times New Roman"/>
          <w:sz w:val="18"/>
          <w:szCs w:val="18"/>
        </w:rPr>
        <w:t>eds.</w:t>
      </w:r>
      <w:r>
        <w:rPr>
          <w:rFonts w:ascii="Times New Roman" w:hAnsi="Times New Roman" w:cs="Times New Roman"/>
          <w:sz w:val="18"/>
          <w:szCs w:val="18"/>
        </w:rPr>
        <w:t>,</w:t>
      </w:r>
      <w:r w:rsidRPr="001C04F2">
        <w:rPr>
          <w:rFonts w:ascii="Times New Roman" w:hAnsi="Times New Roman" w:cs="Times New Roman"/>
          <w:sz w:val="18"/>
          <w:szCs w:val="18"/>
        </w:rPr>
        <w:t xml:space="preserve"> </w:t>
      </w:r>
      <w:r w:rsidRPr="001C04F2">
        <w:rPr>
          <w:rFonts w:ascii="Times New Roman" w:hAnsi="Times New Roman" w:cs="Times New Roman"/>
          <w:i/>
          <w:sz w:val="18"/>
          <w:szCs w:val="18"/>
        </w:rPr>
        <w:t>Handbook of the European Network of Official Authorities in Charge of the Secret Police Files</w:t>
      </w:r>
      <w:r w:rsidRPr="001C04F2">
        <w:rPr>
          <w:rFonts w:ascii="Times New Roman" w:hAnsi="Times New Roman" w:cs="Times New Roman"/>
          <w:sz w:val="18"/>
          <w:szCs w:val="18"/>
        </w:rPr>
        <w:t xml:space="preserve"> (Prague: The Institute for the Study of Totalitarian Regimes </w:t>
      </w:r>
      <w:r>
        <w:rPr>
          <w:rFonts w:ascii="Times New Roman" w:hAnsi="Times New Roman" w:cs="Times New Roman"/>
          <w:sz w:val="18"/>
          <w:szCs w:val="18"/>
        </w:rPr>
        <w:t>and</w:t>
      </w:r>
      <w:r w:rsidRPr="001C04F2">
        <w:rPr>
          <w:rFonts w:ascii="Times New Roman" w:hAnsi="Times New Roman" w:cs="Times New Roman"/>
          <w:sz w:val="18"/>
          <w:szCs w:val="18"/>
        </w:rPr>
        <w:t xml:space="preserve"> the Institute of National Remembrance, 2013).</w:t>
      </w:r>
    </w:p>
  </w:footnote>
  <w:footnote w:id="21">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r>
        <w:rPr>
          <w:sz w:val="18"/>
          <w:szCs w:val="18"/>
        </w:rPr>
        <w:t xml:space="preserve">Romanian </w:t>
      </w:r>
      <w:r w:rsidRPr="001C04F2">
        <w:rPr>
          <w:sz w:val="18"/>
          <w:szCs w:val="18"/>
        </w:rPr>
        <w:t>Constitutional Court</w:t>
      </w:r>
      <w:r>
        <w:rPr>
          <w:sz w:val="18"/>
          <w:szCs w:val="18"/>
        </w:rPr>
        <w:t>,</w:t>
      </w:r>
      <w:r w:rsidRPr="001C04F2">
        <w:rPr>
          <w:sz w:val="18"/>
          <w:szCs w:val="18"/>
        </w:rPr>
        <w:t xml:space="preserve"> </w:t>
      </w:r>
      <w:r>
        <w:rPr>
          <w:sz w:val="18"/>
          <w:szCs w:val="18"/>
        </w:rPr>
        <w:t>“Decision no. 820/2010</w:t>
      </w:r>
      <w:r w:rsidRPr="001C04F2">
        <w:rPr>
          <w:sz w:val="18"/>
          <w:szCs w:val="18"/>
        </w:rPr>
        <w:t xml:space="preserve">,” </w:t>
      </w:r>
      <w:proofErr w:type="spellStart"/>
      <w:r>
        <w:rPr>
          <w:i/>
          <w:sz w:val="18"/>
          <w:szCs w:val="18"/>
        </w:rPr>
        <w:t>Monitorul</w:t>
      </w:r>
      <w:proofErr w:type="spellEnd"/>
      <w:r>
        <w:rPr>
          <w:i/>
          <w:sz w:val="18"/>
          <w:szCs w:val="18"/>
        </w:rPr>
        <w:t xml:space="preserve"> </w:t>
      </w:r>
      <w:proofErr w:type="spellStart"/>
      <w:r>
        <w:rPr>
          <w:i/>
          <w:sz w:val="18"/>
          <w:szCs w:val="18"/>
        </w:rPr>
        <w:t>Oficial</w:t>
      </w:r>
      <w:proofErr w:type="spellEnd"/>
      <w:r>
        <w:rPr>
          <w:i/>
          <w:sz w:val="18"/>
          <w:szCs w:val="18"/>
        </w:rPr>
        <w:t xml:space="preserve"> al </w:t>
      </w:r>
      <w:proofErr w:type="spellStart"/>
      <w:r>
        <w:rPr>
          <w:i/>
          <w:sz w:val="18"/>
          <w:szCs w:val="18"/>
        </w:rPr>
        <w:t>Romaniei</w:t>
      </w:r>
      <w:proofErr w:type="spellEnd"/>
      <w:r>
        <w:rPr>
          <w:sz w:val="18"/>
          <w:szCs w:val="18"/>
        </w:rPr>
        <w:t xml:space="preserve">, </w:t>
      </w:r>
      <w:r w:rsidRPr="001C04F2">
        <w:rPr>
          <w:sz w:val="18"/>
          <w:szCs w:val="18"/>
        </w:rPr>
        <w:t>420</w:t>
      </w:r>
      <w:r>
        <w:rPr>
          <w:sz w:val="18"/>
          <w:szCs w:val="18"/>
        </w:rPr>
        <w:t>, 23 June</w:t>
      </w:r>
      <w:r w:rsidRPr="001C04F2">
        <w:rPr>
          <w:sz w:val="18"/>
          <w:szCs w:val="18"/>
        </w:rPr>
        <w:t xml:space="preserve"> 2010; and Bulgarian Dossier Commission website, </w:t>
      </w:r>
      <w:r>
        <w:rPr>
          <w:sz w:val="18"/>
          <w:szCs w:val="18"/>
        </w:rPr>
        <w:t xml:space="preserve">available at: </w:t>
      </w:r>
      <w:r w:rsidRPr="001C04F2">
        <w:rPr>
          <w:sz w:val="18"/>
          <w:szCs w:val="18"/>
        </w:rPr>
        <w:t xml:space="preserve">http://www.comdos.bg/, accessed </w:t>
      </w:r>
      <w:r>
        <w:rPr>
          <w:sz w:val="18"/>
          <w:szCs w:val="18"/>
        </w:rPr>
        <w:t xml:space="preserve">on 2 May </w:t>
      </w:r>
      <w:r w:rsidRPr="001C04F2">
        <w:rPr>
          <w:sz w:val="18"/>
          <w:szCs w:val="18"/>
        </w:rPr>
        <w:t>2014.</w:t>
      </w:r>
    </w:p>
  </w:footnote>
  <w:footnote w:id="22">
    <w:p w:rsidR="00CF52CA" w:rsidRPr="001C04F2" w:rsidRDefault="00CF52CA" w:rsidP="00CF52CA">
      <w:pPr>
        <w:spacing w:after="0" w:line="240" w:lineRule="auto"/>
        <w:rPr>
          <w:rFonts w:ascii="Times New Roman" w:hAnsi="Times New Roman" w:cs="Times New Roman"/>
          <w:sz w:val="18"/>
          <w:szCs w:val="18"/>
        </w:rPr>
      </w:pPr>
      <w:r w:rsidRPr="001C04F2">
        <w:rPr>
          <w:rStyle w:val="FootnoteReference"/>
          <w:rFonts w:ascii="Times New Roman" w:hAnsi="Times New Roman" w:cs="Times New Roman"/>
          <w:sz w:val="18"/>
          <w:szCs w:val="18"/>
        </w:rPr>
        <w:footnoteRef/>
      </w:r>
      <w:r w:rsidRPr="001C04F2">
        <w:rPr>
          <w:rFonts w:ascii="Times New Roman" w:hAnsi="Times New Roman" w:cs="Times New Roman"/>
          <w:sz w:val="18"/>
          <w:szCs w:val="18"/>
        </w:rPr>
        <w:t xml:space="preserve"> For more extensive comparisons between the programs and an elaboration of limitations</w:t>
      </w:r>
      <w:r>
        <w:rPr>
          <w:rFonts w:ascii="Times New Roman" w:hAnsi="Times New Roman" w:cs="Times New Roman"/>
          <w:sz w:val="18"/>
          <w:szCs w:val="18"/>
        </w:rPr>
        <w:t xml:space="preserve"> on the activities of CNSAS,</w:t>
      </w:r>
      <w:r w:rsidRPr="001C04F2">
        <w:rPr>
          <w:rFonts w:ascii="Times New Roman" w:hAnsi="Times New Roman" w:cs="Times New Roman"/>
          <w:sz w:val="18"/>
          <w:szCs w:val="18"/>
        </w:rPr>
        <w:t xml:space="preserve"> see Cynthia M. Horne, “Silent Lustration: Public Disclosures as Informal Lustration Mechanisms in Bulgaria and Romania," </w:t>
      </w:r>
      <w:r w:rsidRPr="001C04F2">
        <w:rPr>
          <w:rFonts w:ascii="Times New Roman" w:hAnsi="Times New Roman" w:cs="Times New Roman"/>
          <w:i/>
          <w:iCs/>
          <w:sz w:val="18"/>
          <w:szCs w:val="18"/>
        </w:rPr>
        <w:t>Problems of Post-Communism</w:t>
      </w:r>
      <w:r>
        <w:rPr>
          <w:rFonts w:ascii="Times New Roman" w:hAnsi="Times New Roman" w:cs="Times New Roman"/>
          <w:sz w:val="18"/>
          <w:szCs w:val="18"/>
        </w:rPr>
        <w:t xml:space="preserve"> 63:2 </w:t>
      </w:r>
      <w:r w:rsidRPr="001C04F2">
        <w:rPr>
          <w:rFonts w:ascii="Times New Roman" w:hAnsi="Times New Roman" w:cs="Times New Roman"/>
          <w:sz w:val="18"/>
          <w:szCs w:val="18"/>
        </w:rPr>
        <w:t>(2015)</w:t>
      </w:r>
      <w:r>
        <w:rPr>
          <w:rFonts w:ascii="Times New Roman" w:hAnsi="Times New Roman" w:cs="Times New Roman"/>
          <w:sz w:val="18"/>
          <w:szCs w:val="18"/>
        </w:rPr>
        <w:t>: 131-144</w:t>
      </w:r>
      <w:r w:rsidRPr="001C04F2">
        <w:rPr>
          <w:rFonts w:ascii="Times New Roman" w:hAnsi="Times New Roman" w:cs="Times New Roman"/>
          <w:sz w:val="18"/>
          <w:szCs w:val="18"/>
        </w:rPr>
        <w:t>.</w:t>
      </w:r>
    </w:p>
  </w:footnote>
  <w:footnote w:id="23">
    <w:p w:rsidR="00CF52CA" w:rsidRPr="001C04F2" w:rsidRDefault="00CF52CA" w:rsidP="00CF52CA">
      <w:pPr>
        <w:pStyle w:val="FootnoteText"/>
        <w:rPr>
          <w:sz w:val="18"/>
          <w:szCs w:val="18"/>
        </w:rPr>
      </w:pPr>
      <w:r w:rsidRPr="001C04F2">
        <w:rPr>
          <w:rStyle w:val="FootnoteReference"/>
          <w:sz w:val="18"/>
          <w:szCs w:val="18"/>
        </w:rPr>
        <w:footnoteRef/>
      </w:r>
      <w:r>
        <w:rPr>
          <w:sz w:val="18"/>
          <w:szCs w:val="18"/>
        </w:rPr>
        <w:t xml:space="preserve"> The Bulgarian Registrar, available at: at</w:t>
      </w:r>
      <w:r w:rsidRPr="001C04F2">
        <w:rPr>
          <w:sz w:val="18"/>
          <w:szCs w:val="18"/>
        </w:rPr>
        <w:t xml:space="preserve"> </w:t>
      </w:r>
      <w:r w:rsidRPr="00F901A9">
        <w:rPr>
          <w:sz w:val="18"/>
          <w:szCs w:val="18"/>
        </w:rPr>
        <w:t>http://agentibg.com/index.php/bg/</w:t>
      </w:r>
      <w:r>
        <w:rPr>
          <w:sz w:val="18"/>
          <w:szCs w:val="18"/>
        </w:rPr>
        <w:t>, accessed on 13 September 2016.</w:t>
      </w:r>
      <w:r w:rsidRPr="001C04F2">
        <w:rPr>
          <w:sz w:val="18"/>
          <w:szCs w:val="18"/>
        </w:rPr>
        <w:t xml:space="preserve"> The Romanian archives and publications can be found </w:t>
      </w:r>
      <w:r>
        <w:rPr>
          <w:sz w:val="18"/>
          <w:szCs w:val="18"/>
        </w:rPr>
        <w:t xml:space="preserve">at: </w:t>
      </w:r>
      <w:r w:rsidRPr="001C04F2">
        <w:rPr>
          <w:sz w:val="18"/>
          <w:szCs w:val="18"/>
        </w:rPr>
        <w:t>http://www.cnsas.ro/</w:t>
      </w:r>
      <w:r>
        <w:rPr>
          <w:sz w:val="18"/>
          <w:szCs w:val="18"/>
        </w:rPr>
        <w:t>, a</w:t>
      </w:r>
      <w:r w:rsidRPr="001C04F2">
        <w:rPr>
          <w:sz w:val="18"/>
          <w:szCs w:val="18"/>
        </w:rPr>
        <w:t xml:space="preserve">ccessed </w:t>
      </w:r>
      <w:r>
        <w:rPr>
          <w:sz w:val="18"/>
          <w:szCs w:val="18"/>
        </w:rPr>
        <w:t xml:space="preserve">on 26 August </w:t>
      </w:r>
      <w:r w:rsidRPr="001C04F2">
        <w:rPr>
          <w:sz w:val="18"/>
          <w:szCs w:val="18"/>
        </w:rPr>
        <w:t>2016.</w:t>
      </w:r>
    </w:p>
  </w:footnote>
  <w:footnote w:id="24">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r>
        <w:rPr>
          <w:sz w:val="18"/>
          <w:szCs w:val="18"/>
        </w:rPr>
        <w:t>Author’s i</w:t>
      </w:r>
      <w:r w:rsidRPr="001C04F2">
        <w:rPr>
          <w:sz w:val="18"/>
          <w:szCs w:val="18"/>
        </w:rPr>
        <w:t xml:space="preserve">nterviews with Chairman </w:t>
      </w:r>
      <w:proofErr w:type="spellStart"/>
      <w:r w:rsidRPr="001C04F2">
        <w:rPr>
          <w:sz w:val="18"/>
          <w:szCs w:val="18"/>
        </w:rPr>
        <w:t>Evtim</w:t>
      </w:r>
      <w:proofErr w:type="spellEnd"/>
      <w:r w:rsidRPr="001C04F2">
        <w:rPr>
          <w:sz w:val="18"/>
          <w:szCs w:val="18"/>
        </w:rPr>
        <w:t xml:space="preserve"> </w:t>
      </w:r>
      <w:proofErr w:type="spellStart"/>
      <w:r w:rsidRPr="001C04F2">
        <w:rPr>
          <w:sz w:val="18"/>
          <w:szCs w:val="18"/>
        </w:rPr>
        <w:t>Kostadinov</w:t>
      </w:r>
      <w:proofErr w:type="spellEnd"/>
      <w:r w:rsidRPr="001C04F2">
        <w:rPr>
          <w:sz w:val="18"/>
          <w:szCs w:val="18"/>
        </w:rPr>
        <w:t xml:space="preserve">, Dossier Commission, Sofia, Bulgaria, </w:t>
      </w:r>
      <w:r>
        <w:rPr>
          <w:sz w:val="18"/>
          <w:szCs w:val="18"/>
        </w:rPr>
        <w:t xml:space="preserve">12 July </w:t>
      </w:r>
      <w:r w:rsidRPr="001C04F2">
        <w:rPr>
          <w:sz w:val="18"/>
          <w:szCs w:val="18"/>
        </w:rPr>
        <w:t xml:space="preserve">2012 and his counterpart in Romania, Dr. </w:t>
      </w:r>
      <w:proofErr w:type="spellStart"/>
      <w:r w:rsidRPr="001C04F2">
        <w:rPr>
          <w:sz w:val="18"/>
          <w:szCs w:val="18"/>
        </w:rPr>
        <w:t>Dragoş</w:t>
      </w:r>
      <w:proofErr w:type="spellEnd"/>
      <w:r w:rsidRPr="001C04F2">
        <w:rPr>
          <w:sz w:val="18"/>
          <w:szCs w:val="18"/>
        </w:rPr>
        <w:t xml:space="preserve"> </w:t>
      </w:r>
      <w:proofErr w:type="spellStart"/>
      <w:r w:rsidRPr="001C04F2">
        <w:rPr>
          <w:sz w:val="18"/>
          <w:szCs w:val="18"/>
        </w:rPr>
        <w:t>Petre</w:t>
      </w:r>
      <w:r>
        <w:rPr>
          <w:sz w:val="18"/>
          <w:szCs w:val="18"/>
        </w:rPr>
        <w:t>scu</w:t>
      </w:r>
      <w:proofErr w:type="spellEnd"/>
      <w:r>
        <w:rPr>
          <w:sz w:val="18"/>
          <w:szCs w:val="18"/>
        </w:rPr>
        <w:t>, Chairman of the Board, CNSAS</w:t>
      </w:r>
      <w:r w:rsidRPr="001C04F2">
        <w:rPr>
          <w:sz w:val="18"/>
          <w:szCs w:val="18"/>
        </w:rPr>
        <w:t>, Bucharest</w:t>
      </w:r>
      <w:r>
        <w:rPr>
          <w:sz w:val="18"/>
          <w:szCs w:val="18"/>
        </w:rPr>
        <w:t>,</w:t>
      </w:r>
      <w:r w:rsidRPr="001C04F2">
        <w:rPr>
          <w:sz w:val="18"/>
          <w:szCs w:val="18"/>
        </w:rPr>
        <w:t xml:space="preserve"> Romania, </w:t>
      </w:r>
      <w:r>
        <w:rPr>
          <w:sz w:val="18"/>
          <w:szCs w:val="18"/>
        </w:rPr>
        <w:t xml:space="preserve">12 October </w:t>
      </w:r>
      <w:r w:rsidRPr="001C04F2">
        <w:rPr>
          <w:sz w:val="18"/>
          <w:szCs w:val="18"/>
        </w:rPr>
        <w:t>2012.</w:t>
      </w:r>
    </w:p>
  </w:footnote>
  <w:footnote w:id="25">
    <w:p w:rsidR="00CF52CA" w:rsidRPr="001C04F2" w:rsidRDefault="00CF52CA" w:rsidP="00CF52CA">
      <w:pPr>
        <w:spacing w:after="0" w:line="240" w:lineRule="auto"/>
        <w:rPr>
          <w:rFonts w:ascii="Times New Roman" w:hAnsi="Times New Roman" w:cs="Times New Roman"/>
          <w:sz w:val="18"/>
          <w:szCs w:val="18"/>
        </w:rPr>
      </w:pPr>
      <w:r w:rsidRPr="001C04F2">
        <w:rPr>
          <w:rStyle w:val="FootnoteReference"/>
          <w:rFonts w:ascii="Times New Roman" w:hAnsi="Times New Roman" w:cs="Times New Roman"/>
          <w:sz w:val="18"/>
          <w:szCs w:val="18"/>
        </w:rPr>
        <w:footnoteRef/>
      </w:r>
      <w:r w:rsidRPr="001C04F2">
        <w:rPr>
          <w:rFonts w:ascii="Times New Roman" w:hAnsi="Times New Roman" w:cs="Times New Roman"/>
          <w:sz w:val="18"/>
          <w:szCs w:val="18"/>
        </w:rPr>
        <w:t xml:space="preserve"> Monika </w:t>
      </w:r>
      <w:proofErr w:type="spellStart"/>
      <w:r w:rsidRPr="001C04F2">
        <w:rPr>
          <w:rFonts w:ascii="Times New Roman" w:hAnsi="Times New Roman" w:cs="Times New Roman"/>
          <w:sz w:val="18"/>
          <w:szCs w:val="18"/>
        </w:rPr>
        <w:t>Nalepa</w:t>
      </w:r>
      <w:proofErr w:type="spellEnd"/>
      <w:r w:rsidRPr="001C04F2">
        <w:rPr>
          <w:rFonts w:ascii="Times New Roman" w:hAnsi="Times New Roman" w:cs="Times New Roman"/>
          <w:sz w:val="18"/>
          <w:szCs w:val="18"/>
        </w:rPr>
        <w:t xml:space="preserve">, </w:t>
      </w:r>
      <w:r w:rsidRPr="001C04F2">
        <w:rPr>
          <w:rFonts w:ascii="Times New Roman" w:hAnsi="Times New Roman" w:cs="Times New Roman"/>
          <w:i/>
          <w:sz w:val="18"/>
          <w:szCs w:val="18"/>
        </w:rPr>
        <w:t xml:space="preserve">Skeletons in the Closet: Transitional Justice in Post-Communist Europe </w:t>
      </w:r>
      <w:r w:rsidRPr="001C04F2">
        <w:rPr>
          <w:rFonts w:ascii="Times New Roman" w:hAnsi="Times New Roman" w:cs="Times New Roman"/>
          <w:sz w:val="18"/>
          <w:szCs w:val="18"/>
        </w:rPr>
        <w:t>(New York: Cam</w:t>
      </w:r>
      <w:r>
        <w:rPr>
          <w:rFonts w:ascii="Times New Roman" w:hAnsi="Times New Roman" w:cs="Times New Roman"/>
          <w:sz w:val="18"/>
          <w:szCs w:val="18"/>
        </w:rPr>
        <w:t>bridge University Press, 2010).</w:t>
      </w:r>
    </w:p>
  </w:footnote>
  <w:footnote w:id="26">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r w:rsidRPr="001C04F2">
        <w:rPr>
          <w:spacing w:val="-2"/>
          <w:sz w:val="18"/>
          <w:szCs w:val="18"/>
        </w:rPr>
        <w:t>Cynthia Horne and Margaret Levi, “</w:t>
      </w:r>
      <w:r w:rsidRPr="001C04F2">
        <w:rPr>
          <w:sz w:val="18"/>
          <w:szCs w:val="18"/>
        </w:rPr>
        <w:t>Does Lustration Promote Trustworthy Governance? An Exploration of the Experience of Central and Eastern Europe</w:t>
      </w:r>
      <w:r w:rsidRPr="001C04F2">
        <w:rPr>
          <w:spacing w:val="-2"/>
          <w:sz w:val="18"/>
          <w:szCs w:val="18"/>
        </w:rPr>
        <w:t xml:space="preserve">,” in </w:t>
      </w:r>
      <w:r w:rsidRPr="001C04F2">
        <w:rPr>
          <w:i/>
          <w:spacing w:val="-2"/>
          <w:sz w:val="18"/>
          <w:szCs w:val="18"/>
        </w:rPr>
        <w:t>Building a Trustworthy State in Post-Socialist Transition</w:t>
      </w:r>
      <w:r>
        <w:rPr>
          <w:spacing w:val="-2"/>
          <w:sz w:val="18"/>
          <w:szCs w:val="18"/>
        </w:rPr>
        <w:t xml:space="preserve">, eds. </w:t>
      </w:r>
      <w:proofErr w:type="spellStart"/>
      <w:r w:rsidRPr="001C04F2">
        <w:rPr>
          <w:spacing w:val="-2"/>
          <w:sz w:val="18"/>
          <w:szCs w:val="18"/>
        </w:rPr>
        <w:t>János</w:t>
      </w:r>
      <w:proofErr w:type="spellEnd"/>
      <w:r w:rsidRPr="001C04F2">
        <w:rPr>
          <w:spacing w:val="-2"/>
          <w:sz w:val="18"/>
          <w:szCs w:val="18"/>
        </w:rPr>
        <w:t xml:space="preserve"> </w:t>
      </w:r>
      <w:proofErr w:type="spellStart"/>
      <w:r w:rsidRPr="001C04F2">
        <w:rPr>
          <w:spacing w:val="-2"/>
          <w:sz w:val="18"/>
          <w:szCs w:val="18"/>
        </w:rPr>
        <w:t>Kornai</w:t>
      </w:r>
      <w:proofErr w:type="spellEnd"/>
      <w:r w:rsidRPr="001C04F2">
        <w:rPr>
          <w:spacing w:val="-2"/>
          <w:sz w:val="18"/>
          <w:szCs w:val="18"/>
        </w:rPr>
        <w:t xml:space="preserve"> and Susan Rose-Ackerman (New York: Palgrave/Macmillan Press, 2004)</w:t>
      </w:r>
      <w:r w:rsidRPr="001C04F2">
        <w:rPr>
          <w:sz w:val="18"/>
          <w:szCs w:val="18"/>
        </w:rPr>
        <w:t xml:space="preserve">. </w:t>
      </w:r>
    </w:p>
  </w:footnote>
  <w:footnote w:id="27">
    <w:p w:rsidR="00CF52CA" w:rsidRPr="001C04F2" w:rsidRDefault="00CF52CA" w:rsidP="00CF52CA">
      <w:pPr>
        <w:pStyle w:val="EndnoteText"/>
        <w:rPr>
          <w:sz w:val="18"/>
          <w:szCs w:val="18"/>
        </w:rPr>
      </w:pPr>
      <w:r w:rsidRPr="001C04F2">
        <w:rPr>
          <w:rStyle w:val="FootnoteReference"/>
          <w:sz w:val="18"/>
          <w:szCs w:val="18"/>
        </w:rPr>
        <w:footnoteRef/>
      </w:r>
      <w:r w:rsidRPr="001C04F2">
        <w:rPr>
          <w:sz w:val="18"/>
          <w:szCs w:val="18"/>
        </w:rPr>
        <w:t xml:space="preserve"> Lavinia Stan, “Witch-Hunt or Moral Rebirth? Romanian Parliamentary Debates on Lustration,” </w:t>
      </w:r>
      <w:r w:rsidRPr="001C04F2">
        <w:rPr>
          <w:i/>
          <w:sz w:val="18"/>
          <w:szCs w:val="18"/>
        </w:rPr>
        <w:t>East European Politics and Societies</w:t>
      </w:r>
      <w:r>
        <w:rPr>
          <w:sz w:val="18"/>
          <w:szCs w:val="18"/>
        </w:rPr>
        <w:t>, 26:</w:t>
      </w:r>
      <w:r w:rsidRPr="001C04F2">
        <w:rPr>
          <w:sz w:val="18"/>
          <w:szCs w:val="18"/>
        </w:rPr>
        <w:t>2 (2012)</w:t>
      </w:r>
      <w:r>
        <w:rPr>
          <w:sz w:val="18"/>
          <w:szCs w:val="18"/>
        </w:rPr>
        <w:t>: 274-295</w:t>
      </w:r>
      <w:r w:rsidRPr="001C04F2">
        <w:rPr>
          <w:sz w:val="18"/>
          <w:szCs w:val="18"/>
        </w:rPr>
        <w:t>.</w:t>
      </w:r>
    </w:p>
  </w:footnote>
  <w:footnote w:id="28">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Stan, </w:t>
      </w:r>
      <w:r w:rsidRPr="001C04F2">
        <w:rPr>
          <w:i/>
          <w:sz w:val="18"/>
          <w:szCs w:val="18"/>
        </w:rPr>
        <w:t>Transitional Justice in Romania,</w:t>
      </w:r>
      <w:r w:rsidRPr="001C04F2">
        <w:rPr>
          <w:sz w:val="18"/>
          <w:szCs w:val="18"/>
        </w:rPr>
        <w:t xml:space="preserve"> 92.</w:t>
      </w:r>
    </w:p>
  </w:footnote>
  <w:footnote w:id="29">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proofErr w:type="spellStart"/>
      <w:r w:rsidRPr="001C04F2">
        <w:rPr>
          <w:sz w:val="18"/>
          <w:szCs w:val="18"/>
        </w:rPr>
        <w:t>Maxfield</w:t>
      </w:r>
      <w:proofErr w:type="spellEnd"/>
      <w:r w:rsidRPr="001C04F2">
        <w:rPr>
          <w:sz w:val="18"/>
          <w:szCs w:val="18"/>
        </w:rPr>
        <w:t>, “Romania.”</w:t>
      </w:r>
    </w:p>
  </w:footnote>
  <w:footnote w:id="30">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Stan, </w:t>
      </w:r>
      <w:r w:rsidRPr="001C04F2">
        <w:rPr>
          <w:i/>
          <w:sz w:val="18"/>
          <w:szCs w:val="18"/>
        </w:rPr>
        <w:t>Transitional Justice in Romania</w:t>
      </w:r>
      <w:r w:rsidRPr="001C04F2">
        <w:rPr>
          <w:sz w:val="18"/>
          <w:szCs w:val="18"/>
        </w:rPr>
        <w:t>, 92.</w:t>
      </w:r>
    </w:p>
  </w:footnote>
  <w:footnote w:id="31">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r w:rsidRPr="001C04F2">
        <w:rPr>
          <w:color w:val="000000"/>
          <w:sz w:val="18"/>
          <w:szCs w:val="18"/>
        </w:rPr>
        <w:t>Romanian Constitutional Court</w:t>
      </w:r>
      <w:r>
        <w:rPr>
          <w:color w:val="000000"/>
          <w:sz w:val="18"/>
          <w:szCs w:val="18"/>
        </w:rPr>
        <w:t>,</w:t>
      </w:r>
      <w:r w:rsidRPr="001C04F2">
        <w:rPr>
          <w:color w:val="000000"/>
          <w:sz w:val="18"/>
          <w:szCs w:val="18"/>
        </w:rPr>
        <w:t xml:space="preserve"> </w:t>
      </w:r>
      <w:r>
        <w:rPr>
          <w:color w:val="000000"/>
          <w:sz w:val="18"/>
          <w:szCs w:val="18"/>
        </w:rPr>
        <w:t>“</w:t>
      </w:r>
      <w:r w:rsidRPr="001C04F2">
        <w:rPr>
          <w:color w:val="000000"/>
          <w:sz w:val="18"/>
          <w:szCs w:val="18"/>
        </w:rPr>
        <w:t>Decision No. 820/2010.</w:t>
      </w:r>
      <w:r>
        <w:rPr>
          <w:color w:val="000000"/>
          <w:sz w:val="18"/>
          <w:szCs w:val="18"/>
        </w:rPr>
        <w:t>”</w:t>
      </w:r>
    </w:p>
  </w:footnote>
  <w:footnote w:id="32">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proofErr w:type="spellStart"/>
      <w:r w:rsidRPr="001C04F2">
        <w:rPr>
          <w:sz w:val="18"/>
          <w:szCs w:val="18"/>
        </w:rPr>
        <w:t>Iancu</w:t>
      </w:r>
      <w:proofErr w:type="spellEnd"/>
      <w:r w:rsidRPr="001C04F2">
        <w:rPr>
          <w:sz w:val="18"/>
          <w:szCs w:val="18"/>
        </w:rPr>
        <w:t>, “Post-Accession Constitutionalism.”</w:t>
      </w:r>
    </w:p>
  </w:footnote>
  <w:footnote w:id="33">
    <w:p w:rsidR="00CF52CA" w:rsidRPr="001C04F2" w:rsidRDefault="00CF52CA" w:rsidP="00CF52CA">
      <w:pPr>
        <w:autoSpaceDE w:val="0"/>
        <w:autoSpaceDN w:val="0"/>
        <w:adjustRightInd w:val="0"/>
        <w:spacing w:after="0" w:line="240" w:lineRule="auto"/>
        <w:rPr>
          <w:rFonts w:ascii="Times New Roman" w:hAnsi="Times New Roman" w:cs="Times New Roman"/>
          <w:sz w:val="18"/>
          <w:szCs w:val="18"/>
        </w:rPr>
      </w:pPr>
      <w:r w:rsidRPr="001C04F2">
        <w:rPr>
          <w:rStyle w:val="FootnoteReference"/>
          <w:rFonts w:ascii="Times New Roman" w:hAnsi="Times New Roman" w:cs="Times New Roman"/>
          <w:sz w:val="18"/>
          <w:szCs w:val="18"/>
        </w:rPr>
        <w:footnoteRef/>
      </w:r>
      <w:r w:rsidRPr="001C04F2">
        <w:rPr>
          <w:rFonts w:ascii="Times New Roman" w:hAnsi="Times New Roman" w:cs="Times New Roman"/>
          <w:sz w:val="18"/>
          <w:szCs w:val="18"/>
        </w:rPr>
        <w:t xml:space="preserve"> Neil </w:t>
      </w:r>
      <w:proofErr w:type="spellStart"/>
      <w:r w:rsidRPr="001C04F2">
        <w:rPr>
          <w:rFonts w:ascii="Times New Roman" w:hAnsi="Times New Roman" w:cs="Times New Roman"/>
          <w:sz w:val="18"/>
          <w:szCs w:val="18"/>
        </w:rPr>
        <w:t>Kritz</w:t>
      </w:r>
      <w:proofErr w:type="spellEnd"/>
      <w:r w:rsidRPr="001C04F2">
        <w:rPr>
          <w:rFonts w:ascii="Times New Roman" w:hAnsi="Times New Roman" w:cs="Times New Roman"/>
          <w:sz w:val="18"/>
          <w:szCs w:val="18"/>
        </w:rPr>
        <w:t>, ed. “Czech Republic: Constitutional Court Decision on the Screening Law (November 26, 1992)</w:t>
      </w:r>
      <w:r>
        <w:rPr>
          <w:rFonts w:ascii="Times New Roman" w:hAnsi="Times New Roman" w:cs="Times New Roman"/>
          <w:sz w:val="18"/>
          <w:szCs w:val="18"/>
        </w:rPr>
        <w:t>,</w:t>
      </w:r>
      <w:r w:rsidRPr="001C04F2">
        <w:rPr>
          <w:rFonts w:ascii="Times New Roman" w:hAnsi="Times New Roman" w:cs="Times New Roman"/>
          <w:sz w:val="18"/>
          <w:szCs w:val="18"/>
        </w:rPr>
        <w:t xml:space="preserve">” </w:t>
      </w:r>
      <w:r>
        <w:rPr>
          <w:rFonts w:ascii="Times New Roman" w:hAnsi="Times New Roman" w:cs="Times New Roman"/>
          <w:sz w:val="18"/>
          <w:szCs w:val="18"/>
        </w:rPr>
        <w:t xml:space="preserve">in </w:t>
      </w:r>
      <w:r w:rsidRPr="001C04F2">
        <w:rPr>
          <w:rFonts w:ascii="Times New Roman" w:hAnsi="Times New Roman" w:cs="Times New Roman"/>
          <w:i/>
          <w:sz w:val="18"/>
          <w:szCs w:val="18"/>
        </w:rPr>
        <w:t>Transitional Justice</w:t>
      </w:r>
      <w:r w:rsidRPr="001C04F2">
        <w:rPr>
          <w:rFonts w:ascii="Times New Roman" w:hAnsi="Times New Roman" w:cs="Times New Roman"/>
          <w:sz w:val="18"/>
          <w:szCs w:val="18"/>
        </w:rPr>
        <w:t xml:space="preserve">: </w:t>
      </w:r>
      <w:r w:rsidRPr="001C04F2">
        <w:rPr>
          <w:rFonts w:ascii="Times New Roman" w:hAnsi="Times New Roman" w:cs="Times New Roman"/>
          <w:i/>
          <w:sz w:val="18"/>
          <w:szCs w:val="18"/>
        </w:rPr>
        <w:t>How Emerging Democracies R</w:t>
      </w:r>
      <w:r>
        <w:rPr>
          <w:rFonts w:ascii="Times New Roman" w:hAnsi="Times New Roman" w:cs="Times New Roman"/>
          <w:i/>
          <w:sz w:val="18"/>
          <w:szCs w:val="18"/>
        </w:rPr>
        <w:t>eckon with Former Regimes</w:t>
      </w:r>
      <w:r>
        <w:rPr>
          <w:rFonts w:ascii="Times New Roman" w:hAnsi="Times New Roman" w:cs="Times New Roman"/>
          <w:sz w:val="18"/>
          <w:szCs w:val="18"/>
        </w:rPr>
        <w:t xml:space="preserve">, ed. Neil </w:t>
      </w:r>
      <w:proofErr w:type="spellStart"/>
      <w:r>
        <w:rPr>
          <w:rFonts w:ascii="Times New Roman" w:hAnsi="Times New Roman" w:cs="Times New Roman"/>
          <w:sz w:val="18"/>
          <w:szCs w:val="18"/>
        </w:rPr>
        <w:t>Kritz</w:t>
      </w:r>
      <w:proofErr w:type="spellEnd"/>
      <w:r>
        <w:rPr>
          <w:rFonts w:ascii="Times New Roman" w:hAnsi="Times New Roman" w:cs="Times New Roman"/>
          <w:sz w:val="18"/>
          <w:szCs w:val="18"/>
        </w:rPr>
        <w:t xml:space="preserve"> </w:t>
      </w:r>
      <w:r w:rsidRPr="001C04F2">
        <w:rPr>
          <w:rFonts w:ascii="Times New Roman" w:hAnsi="Times New Roman" w:cs="Times New Roman"/>
          <w:sz w:val="18"/>
          <w:szCs w:val="18"/>
        </w:rPr>
        <w:t xml:space="preserve">(Washington, DC: United States Institute of Peace Studies, 1995), </w:t>
      </w:r>
      <w:r>
        <w:rPr>
          <w:rFonts w:ascii="Times New Roman" w:hAnsi="Times New Roman" w:cs="Times New Roman"/>
          <w:sz w:val="18"/>
          <w:szCs w:val="18"/>
        </w:rPr>
        <w:t>3:</w:t>
      </w:r>
      <w:r w:rsidRPr="009A31F7">
        <w:rPr>
          <w:rFonts w:ascii="Times New Roman" w:hAnsi="Times New Roman" w:cs="Times New Roman"/>
          <w:color w:val="000000" w:themeColor="text1"/>
          <w:sz w:val="18"/>
          <w:szCs w:val="18"/>
        </w:rPr>
        <w:t xml:space="preserve">369-374, and </w:t>
      </w:r>
      <w:r w:rsidRPr="001C04F2">
        <w:rPr>
          <w:rFonts w:ascii="Times New Roman" w:hAnsi="Times New Roman" w:cs="Times New Roman"/>
          <w:sz w:val="18"/>
          <w:szCs w:val="18"/>
        </w:rPr>
        <w:t xml:space="preserve">“Hungary: Constitutional Court Decision on the Statute of Limitations, No. 2086/A/1991/14 (March 5, 1992),” in </w:t>
      </w:r>
      <w:r w:rsidRPr="001C04F2">
        <w:rPr>
          <w:rFonts w:ascii="Times New Roman" w:hAnsi="Times New Roman" w:cs="Times New Roman"/>
          <w:i/>
          <w:sz w:val="18"/>
          <w:szCs w:val="18"/>
        </w:rPr>
        <w:t>Transitional Justice</w:t>
      </w:r>
      <w:r w:rsidRPr="001C04F2">
        <w:rPr>
          <w:rFonts w:ascii="Times New Roman" w:hAnsi="Times New Roman" w:cs="Times New Roman"/>
          <w:sz w:val="18"/>
          <w:szCs w:val="18"/>
        </w:rPr>
        <w:t xml:space="preserve">: </w:t>
      </w:r>
      <w:r w:rsidRPr="001C04F2">
        <w:rPr>
          <w:rFonts w:ascii="Times New Roman" w:hAnsi="Times New Roman" w:cs="Times New Roman"/>
          <w:i/>
          <w:sz w:val="18"/>
          <w:szCs w:val="18"/>
        </w:rPr>
        <w:t>How Emerging Democracies Reckon with Former Regimes</w:t>
      </w:r>
      <w:r w:rsidRPr="00FF5B9A">
        <w:rPr>
          <w:rFonts w:ascii="Times New Roman" w:hAnsi="Times New Roman" w:cs="Times New Roman"/>
          <w:sz w:val="18"/>
          <w:szCs w:val="18"/>
        </w:rPr>
        <w:t xml:space="preserve">, </w:t>
      </w:r>
      <w:r>
        <w:rPr>
          <w:rFonts w:ascii="Times New Roman" w:hAnsi="Times New Roman" w:cs="Times New Roman"/>
          <w:sz w:val="18"/>
          <w:szCs w:val="18"/>
        </w:rPr>
        <w:t xml:space="preserve">ed. Neil </w:t>
      </w:r>
      <w:proofErr w:type="spellStart"/>
      <w:r>
        <w:rPr>
          <w:rFonts w:ascii="Times New Roman" w:hAnsi="Times New Roman" w:cs="Times New Roman"/>
          <w:sz w:val="18"/>
          <w:szCs w:val="18"/>
        </w:rPr>
        <w:t>Kritz</w:t>
      </w:r>
      <w:proofErr w:type="spellEnd"/>
      <w:r>
        <w:rPr>
          <w:rFonts w:ascii="Times New Roman" w:hAnsi="Times New Roman" w:cs="Times New Roman"/>
          <w:sz w:val="18"/>
          <w:szCs w:val="18"/>
        </w:rPr>
        <w:t xml:space="preserve"> </w:t>
      </w:r>
      <w:r w:rsidRPr="001C04F2">
        <w:rPr>
          <w:rFonts w:ascii="Times New Roman" w:hAnsi="Times New Roman" w:cs="Times New Roman"/>
          <w:sz w:val="18"/>
          <w:szCs w:val="18"/>
        </w:rPr>
        <w:t xml:space="preserve">(Washington, DC: United States Institute of Peace Studies, 1995), </w:t>
      </w:r>
      <w:r>
        <w:rPr>
          <w:rFonts w:ascii="Times New Roman" w:hAnsi="Times New Roman" w:cs="Times New Roman"/>
          <w:sz w:val="18"/>
          <w:szCs w:val="18"/>
        </w:rPr>
        <w:t>3:</w:t>
      </w:r>
      <w:r w:rsidRPr="001C04F2">
        <w:rPr>
          <w:rFonts w:ascii="Times New Roman" w:hAnsi="Times New Roman" w:cs="Times New Roman"/>
          <w:sz w:val="18"/>
          <w:szCs w:val="18"/>
        </w:rPr>
        <w:t>351.</w:t>
      </w:r>
    </w:p>
  </w:footnote>
  <w:footnote w:id="34">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Helsinki Watch, “</w:t>
      </w:r>
      <w:proofErr w:type="spellStart"/>
      <w:r w:rsidRPr="001C04F2">
        <w:rPr>
          <w:sz w:val="18"/>
          <w:szCs w:val="18"/>
        </w:rPr>
        <w:t>Decommunization</w:t>
      </w:r>
      <w:proofErr w:type="spellEnd"/>
      <w:r w:rsidRPr="001C04F2">
        <w:rPr>
          <w:sz w:val="18"/>
          <w:szCs w:val="18"/>
        </w:rPr>
        <w:t xml:space="preserve"> in Bulgaria,” </w:t>
      </w:r>
      <w:r w:rsidRPr="001C04F2">
        <w:rPr>
          <w:i/>
          <w:sz w:val="18"/>
          <w:szCs w:val="18"/>
        </w:rPr>
        <w:t>Human Rights Watch</w:t>
      </w:r>
      <w:r>
        <w:rPr>
          <w:sz w:val="18"/>
          <w:szCs w:val="18"/>
        </w:rPr>
        <w:t>, 5:</w:t>
      </w:r>
      <w:r w:rsidRPr="001C04F2">
        <w:rPr>
          <w:sz w:val="18"/>
          <w:szCs w:val="18"/>
        </w:rPr>
        <w:t>14 (</w:t>
      </w:r>
      <w:r>
        <w:rPr>
          <w:sz w:val="18"/>
          <w:szCs w:val="18"/>
        </w:rPr>
        <w:t xml:space="preserve">August </w:t>
      </w:r>
      <w:r w:rsidRPr="001C04F2">
        <w:rPr>
          <w:sz w:val="18"/>
          <w:szCs w:val="18"/>
        </w:rPr>
        <w:t>1993)</w:t>
      </w:r>
      <w:r>
        <w:rPr>
          <w:sz w:val="18"/>
          <w:szCs w:val="18"/>
        </w:rPr>
        <w:t xml:space="preserve">, available at: </w:t>
      </w:r>
      <w:r w:rsidRPr="00D15835">
        <w:rPr>
          <w:sz w:val="18"/>
          <w:szCs w:val="18"/>
        </w:rPr>
        <w:t>https://www.hrw.org/sites/default/files/reports/BULGARIA938.PDF</w:t>
      </w:r>
      <w:r>
        <w:rPr>
          <w:sz w:val="18"/>
          <w:szCs w:val="18"/>
        </w:rPr>
        <w:t>, accessed on 14 September 2016.</w:t>
      </w:r>
    </w:p>
  </w:footnote>
  <w:footnote w:id="35">
    <w:p w:rsidR="00CF52CA" w:rsidRPr="001C04F2" w:rsidRDefault="00CF52CA" w:rsidP="00CF52CA">
      <w:pPr>
        <w:pStyle w:val="FootnoteText"/>
        <w:rPr>
          <w:sz w:val="18"/>
          <w:szCs w:val="18"/>
        </w:rPr>
      </w:pPr>
      <w:r w:rsidRPr="001C04F2">
        <w:rPr>
          <w:rStyle w:val="FootnoteReference"/>
          <w:sz w:val="18"/>
          <w:szCs w:val="18"/>
        </w:rPr>
        <w:footnoteRef/>
      </w:r>
      <w:r>
        <w:rPr>
          <w:sz w:val="18"/>
          <w:szCs w:val="18"/>
        </w:rPr>
        <w:t xml:space="preserve"> Austin, “Albania.”</w:t>
      </w:r>
    </w:p>
  </w:footnote>
  <w:footnote w:id="36">
    <w:p w:rsidR="00CF52CA" w:rsidRPr="001C04F2" w:rsidRDefault="00CF52CA" w:rsidP="00CF52CA">
      <w:pPr>
        <w:pStyle w:val="FootnoteText"/>
        <w:rPr>
          <w:sz w:val="18"/>
          <w:szCs w:val="18"/>
        </w:rPr>
      </w:pPr>
      <w:r w:rsidRPr="001C04F2">
        <w:rPr>
          <w:rStyle w:val="FootnoteReference"/>
          <w:sz w:val="18"/>
          <w:szCs w:val="18"/>
        </w:rPr>
        <w:footnoteRef/>
      </w:r>
      <w:r w:rsidRPr="001C04F2">
        <w:rPr>
          <w:sz w:val="18"/>
          <w:szCs w:val="18"/>
        </w:rPr>
        <w:t xml:space="preserve"> </w:t>
      </w:r>
      <w:r w:rsidR="00514385">
        <w:rPr>
          <w:sz w:val="18"/>
          <w:szCs w:val="18"/>
        </w:rPr>
        <w:t>For a discussion of the parliamentary debates surrounding the 2006 lustration efforts see Stan, “Witch Hunt or Moral Rebirth.”</w:t>
      </w:r>
    </w:p>
  </w:footnote>
  <w:footnote w:id="37">
    <w:p w:rsidR="00CF52CA" w:rsidRPr="001D2670" w:rsidRDefault="00CF52CA" w:rsidP="00CF52CA">
      <w:pPr>
        <w:autoSpaceDE w:val="0"/>
        <w:autoSpaceDN w:val="0"/>
        <w:adjustRightInd w:val="0"/>
        <w:spacing w:after="0" w:line="240" w:lineRule="auto"/>
        <w:rPr>
          <w:rFonts w:ascii="Times New Roman" w:hAnsi="Times New Roman" w:cs="Times New Roman"/>
          <w:sz w:val="18"/>
          <w:szCs w:val="18"/>
        </w:rPr>
      </w:pPr>
      <w:r w:rsidRPr="001D2670">
        <w:rPr>
          <w:rStyle w:val="FootnoteReference"/>
          <w:rFonts w:ascii="Times New Roman" w:hAnsi="Times New Roman" w:cs="Times New Roman"/>
          <w:sz w:val="18"/>
          <w:szCs w:val="18"/>
        </w:rPr>
        <w:footnoteRef/>
      </w:r>
      <w:r w:rsidRPr="001D2670">
        <w:rPr>
          <w:rFonts w:ascii="Times New Roman" w:hAnsi="Times New Roman" w:cs="Times New Roman"/>
          <w:color w:val="000000"/>
          <w:sz w:val="18"/>
          <w:szCs w:val="18"/>
        </w:rPr>
        <w:t xml:space="preserve"> Lavinia Stan, “The Politics of Memory in Poland: Lustration, File Access and Court Proceedings,” </w:t>
      </w:r>
      <w:r w:rsidRPr="001D2670">
        <w:rPr>
          <w:rFonts w:ascii="Times New Roman" w:hAnsi="Times New Roman" w:cs="Times New Roman"/>
          <w:i/>
          <w:color w:val="000000"/>
          <w:sz w:val="18"/>
          <w:szCs w:val="18"/>
        </w:rPr>
        <w:t>Studies in Post-Communism Occasional Paper</w:t>
      </w:r>
      <w:r>
        <w:rPr>
          <w:rFonts w:ascii="Times New Roman" w:hAnsi="Times New Roman" w:cs="Times New Roman"/>
          <w:color w:val="000000"/>
          <w:sz w:val="18"/>
          <w:szCs w:val="18"/>
        </w:rPr>
        <w:t>, No. 10,</w:t>
      </w:r>
      <w:r w:rsidRPr="001D2670">
        <w:rPr>
          <w:rFonts w:ascii="Times New Roman" w:hAnsi="Times New Roman" w:cs="Times New Roman"/>
          <w:color w:val="000000"/>
          <w:sz w:val="18"/>
          <w:szCs w:val="18"/>
        </w:rPr>
        <w:t xml:space="preserve"> St. Francis Xavier University, Centre for Post-Communist Studies (2006):</w:t>
      </w:r>
      <w:r>
        <w:rPr>
          <w:rFonts w:ascii="Times New Roman" w:hAnsi="Times New Roman" w:cs="Times New Roman"/>
          <w:color w:val="000000"/>
          <w:sz w:val="18"/>
          <w:szCs w:val="18"/>
        </w:rPr>
        <w:t xml:space="preserve"> </w:t>
      </w:r>
      <w:r w:rsidRPr="001D2670">
        <w:rPr>
          <w:rFonts w:ascii="Times New Roman" w:hAnsi="Times New Roman" w:cs="Times New Roman"/>
          <w:color w:val="000000"/>
          <w:sz w:val="18"/>
          <w:szCs w:val="18"/>
        </w:rPr>
        <w:t xml:space="preserve">46; and Cynthia M. Horne, </w:t>
      </w:r>
      <w:r w:rsidRPr="001D2670">
        <w:rPr>
          <w:rFonts w:ascii="Times New Roman" w:hAnsi="Times New Roman" w:cs="Times New Roman"/>
          <w:sz w:val="18"/>
          <w:szCs w:val="18"/>
        </w:rPr>
        <w:t>“Late Lustration.”</w:t>
      </w:r>
    </w:p>
  </w:footnote>
  <w:footnote w:id="38">
    <w:p w:rsidR="00CF52CA" w:rsidRPr="001D2670" w:rsidRDefault="00CF52CA" w:rsidP="00CF52CA">
      <w:pPr>
        <w:spacing w:after="0" w:line="240" w:lineRule="auto"/>
        <w:rPr>
          <w:rFonts w:ascii="Times New Roman" w:hAnsi="Times New Roman" w:cs="Times New Roman"/>
          <w:bCs/>
          <w:sz w:val="18"/>
          <w:szCs w:val="18"/>
        </w:rPr>
      </w:pPr>
      <w:r w:rsidRPr="001D2670">
        <w:rPr>
          <w:rStyle w:val="FootnoteReference"/>
          <w:rFonts w:ascii="Times New Roman" w:hAnsi="Times New Roman" w:cs="Times New Roman"/>
          <w:sz w:val="18"/>
          <w:szCs w:val="18"/>
        </w:rPr>
        <w:footnoteRef/>
      </w:r>
      <w:r w:rsidRPr="001D2670">
        <w:rPr>
          <w:rFonts w:ascii="Times New Roman" w:hAnsi="Times New Roman" w:cs="Times New Roman"/>
          <w:sz w:val="18"/>
          <w:szCs w:val="18"/>
        </w:rPr>
        <w:t xml:space="preserve"> Polish Constitutional Tribunal, Judgment of 11</w:t>
      </w:r>
      <w:r w:rsidRPr="001D2670">
        <w:rPr>
          <w:rFonts w:ascii="Times New Roman" w:hAnsi="Times New Roman" w:cs="Times New Roman"/>
          <w:sz w:val="18"/>
          <w:szCs w:val="18"/>
          <w:vertAlign w:val="superscript"/>
        </w:rPr>
        <w:t>th</w:t>
      </w:r>
      <w:r w:rsidRPr="001D2670">
        <w:rPr>
          <w:rFonts w:ascii="Times New Roman" w:hAnsi="Times New Roman" w:cs="Times New Roman"/>
          <w:sz w:val="18"/>
          <w:szCs w:val="18"/>
        </w:rPr>
        <w:t xml:space="preserve"> May 2007, file Ref. No. K 2/07</w:t>
      </w:r>
      <w:r w:rsidRPr="001D2670">
        <w:rPr>
          <w:rFonts w:ascii="Times New Roman" w:hAnsi="Times New Roman" w:cs="Times New Roman"/>
          <w:sz w:val="18"/>
          <w:szCs w:val="18"/>
          <w:u w:val="single"/>
        </w:rPr>
        <w:t xml:space="preserve"> </w:t>
      </w:r>
      <w:r w:rsidRPr="001D2670">
        <w:rPr>
          <w:rFonts w:ascii="Times New Roman" w:hAnsi="Times New Roman" w:cs="Times New Roman"/>
          <w:bCs/>
          <w:sz w:val="18"/>
          <w:szCs w:val="18"/>
        </w:rPr>
        <w:t>LUSTRATION.</w:t>
      </w:r>
    </w:p>
  </w:footnote>
  <w:footnote w:id="39">
    <w:p w:rsidR="00CF52CA" w:rsidRPr="001D2670" w:rsidRDefault="00CF52CA" w:rsidP="00CF52CA">
      <w:pPr>
        <w:spacing w:after="0" w:line="240" w:lineRule="auto"/>
        <w:rPr>
          <w:rFonts w:ascii="Times New Roman" w:hAnsi="Times New Roman" w:cs="Times New Roman"/>
          <w:spacing w:val="-2"/>
          <w:sz w:val="18"/>
          <w:szCs w:val="18"/>
        </w:rPr>
      </w:pPr>
      <w:r w:rsidRPr="001D2670">
        <w:rPr>
          <w:rStyle w:val="FootnoteReference"/>
          <w:rFonts w:ascii="Times New Roman" w:hAnsi="Times New Roman" w:cs="Times New Roman"/>
          <w:sz w:val="18"/>
          <w:szCs w:val="18"/>
        </w:rPr>
        <w:footnoteRef/>
      </w:r>
      <w:r w:rsidRPr="001D2670">
        <w:rPr>
          <w:rFonts w:ascii="Times New Roman" w:hAnsi="Times New Roman" w:cs="Times New Roman"/>
          <w:sz w:val="18"/>
          <w:szCs w:val="18"/>
        </w:rPr>
        <w:t xml:space="preserve"> </w:t>
      </w:r>
      <w:r w:rsidRPr="001D2670">
        <w:rPr>
          <w:rFonts w:ascii="Times New Roman" w:hAnsi="Times New Roman" w:cs="Times New Roman"/>
          <w:spacing w:val="-2"/>
          <w:sz w:val="18"/>
          <w:szCs w:val="18"/>
        </w:rPr>
        <w:t>Horne and Levi, “Trustworthy Governance.”</w:t>
      </w:r>
    </w:p>
  </w:footnote>
  <w:footnote w:id="40">
    <w:p w:rsidR="00CF52CA" w:rsidRPr="001D2670" w:rsidRDefault="00CF52CA" w:rsidP="00CF52CA">
      <w:pPr>
        <w:pStyle w:val="FootnoteText"/>
        <w:rPr>
          <w:sz w:val="18"/>
          <w:szCs w:val="18"/>
        </w:rPr>
      </w:pPr>
      <w:r w:rsidRPr="001D2670">
        <w:rPr>
          <w:rStyle w:val="FootnoteReference"/>
          <w:sz w:val="18"/>
          <w:szCs w:val="18"/>
        </w:rPr>
        <w:footnoteRef/>
      </w:r>
      <w:r w:rsidRPr="001D2670">
        <w:rPr>
          <w:sz w:val="18"/>
          <w:szCs w:val="18"/>
        </w:rPr>
        <w:t xml:space="preserve"> </w:t>
      </w:r>
      <w:proofErr w:type="spellStart"/>
      <w:r w:rsidRPr="001D2670">
        <w:rPr>
          <w:sz w:val="18"/>
          <w:szCs w:val="18"/>
        </w:rPr>
        <w:t>Metodiev</w:t>
      </w:r>
      <w:proofErr w:type="spellEnd"/>
      <w:r w:rsidRPr="001D2670">
        <w:rPr>
          <w:sz w:val="18"/>
          <w:szCs w:val="18"/>
        </w:rPr>
        <w:t>, “Bulgaria.”</w:t>
      </w:r>
    </w:p>
  </w:footnote>
  <w:footnote w:id="41">
    <w:p w:rsidR="00CF52CA" w:rsidRPr="005A0468" w:rsidRDefault="00CF52CA" w:rsidP="00CF52CA">
      <w:pPr>
        <w:spacing w:after="0" w:line="240" w:lineRule="auto"/>
        <w:rPr>
          <w:rFonts w:ascii="Times New Roman" w:hAnsi="Times New Roman" w:cs="Times New Roman"/>
          <w:color w:val="000000"/>
          <w:sz w:val="18"/>
          <w:szCs w:val="18"/>
        </w:rPr>
      </w:pPr>
      <w:r w:rsidRPr="005A0468">
        <w:rPr>
          <w:rStyle w:val="FootnoteReference"/>
          <w:rFonts w:ascii="Times New Roman" w:hAnsi="Times New Roman" w:cs="Times New Roman"/>
          <w:sz w:val="18"/>
          <w:szCs w:val="18"/>
        </w:rPr>
        <w:footnoteRef/>
      </w:r>
      <w:r w:rsidRPr="005A0468">
        <w:rPr>
          <w:rFonts w:ascii="Times New Roman" w:hAnsi="Times New Roman" w:cs="Times New Roman"/>
          <w:sz w:val="18"/>
          <w:szCs w:val="18"/>
        </w:rPr>
        <w:t xml:space="preserve"> </w:t>
      </w:r>
      <w:r w:rsidRPr="005A0468">
        <w:rPr>
          <w:rFonts w:ascii="Times New Roman" w:hAnsi="Times New Roman" w:cs="Times New Roman"/>
          <w:color w:val="000000"/>
          <w:sz w:val="18"/>
          <w:szCs w:val="18"/>
        </w:rPr>
        <w:t xml:space="preserve">Matthew Cleary and Susan Stokes, </w:t>
      </w:r>
      <w:r w:rsidRPr="005A0468">
        <w:rPr>
          <w:rFonts w:ascii="Times New Roman" w:hAnsi="Times New Roman" w:cs="Times New Roman"/>
          <w:i/>
          <w:color w:val="000000"/>
          <w:sz w:val="18"/>
          <w:szCs w:val="18"/>
        </w:rPr>
        <w:t xml:space="preserve">Democracy and the Culture of Skepticism: Political Trust in Argentina and Mexico </w:t>
      </w:r>
      <w:r w:rsidRPr="005A0468">
        <w:rPr>
          <w:rFonts w:ascii="Times New Roman" w:hAnsi="Times New Roman" w:cs="Times New Roman"/>
          <w:color w:val="000000"/>
          <w:sz w:val="18"/>
          <w:szCs w:val="18"/>
        </w:rPr>
        <w:t>(New York: Russell Sage, 2006); Mark Warren, ed.</w:t>
      </w:r>
      <w:r>
        <w:rPr>
          <w:rFonts w:ascii="Times New Roman" w:hAnsi="Times New Roman" w:cs="Times New Roman"/>
          <w:color w:val="000000"/>
          <w:sz w:val="18"/>
          <w:szCs w:val="18"/>
        </w:rPr>
        <w:t>,</w:t>
      </w:r>
      <w:r w:rsidRPr="005A0468">
        <w:rPr>
          <w:rFonts w:ascii="Times New Roman" w:hAnsi="Times New Roman" w:cs="Times New Roman"/>
          <w:color w:val="000000"/>
          <w:sz w:val="18"/>
          <w:szCs w:val="18"/>
        </w:rPr>
        <w:t xml:space="preserve"> </w:t>
      </w:r>
      <w:r w:rsidRPr="005A0468">
        <w:rPr>
          <w:rFonts w:ascii="Times New Roman" w:hAnsi="Times New Roman" w:cs="Times New Roman"/>
          <w:i/>
          <w:sz w:val="18"/>
          <w:szCs w:val="18"/>
        </w:rPr>
        <w:t>Democracy and Trust</w:t>
      </w:r>
      <w:r w:rsidRPr="005A0468">
        <w:rPr>
          <w:rFonts w:ascii="Times New Roman" w:hAnsi="Times New Roman" w:cs="Times New Roman"/>
          <w:sz w:val="18"/>
          <w:szCs w:val="18"/>
        </w:rPr>
        <w:t xml:space="preserve"> (New York: Cambridge University Press, 1999).</w:t>
      </w:r>
    </w:p>
  </w:footnote>
  <w:footnote w:id="42">
    <w:p w:rsidR="00CF52CA" w:rsidRPr="005A0468" w:rsidRDefault="00CF52CA" w:rsidP="00CF52CA">
      <w:pPr>
        <w:spacing w:after="0" w:line="240" w:lineRule="auto"/>
        <w:rPr>
          <w:rFonts w:ascii="Times New Roman" w:hAnsi="Times New Roman" w:cs="Times New Roman"/>
          <w:spacing w:val="-2"/>
          <w:sz w:val="18"/>
          <w:szCs w:val="18"/>
        </w:rPr>
      </w:pPr>
      <w:r w:rsidRPr="005A0468">
        <w:rPr>
          <w:rStyle w:val="FootnoteReference"/>
          <w:rFonts w:ascii="Times New Roman" w:hAnsi="Times New Roman" w:cs="Times New Roman"/>
          <w:sz w:val="18"/>
          <w:szCs w:val="18"/>
        </w:rPr>
        <w:footnoteRef/>
      </w:r>
      <w:r w:rsidRPr="005A0468">
        <w:rPr>
          <w:rFonts w:ascii="Times New Roman" w:hAnsi="Times New Roman" w:cs="Times New Roman"/>
          <w:sz w:val="18"/>
          <w:szCs w:val="18"/>
        </w:rPr>
        <w:t xml:space="preserve"> </w:t>
      </w:r>
      <w:proofErr w:type="spellStart"/>
      <w:r w:rsidRPr="005A0468">
        <w:rPr>
          <w:rFonts w:ascii="Times New Roman" w:hAnsi="Times New Roman" w:cs="Times New Roman"/>
          <w:spacing w:val="-2"/>
          <w:sz w:val="18"/>
          <w:szCs w:val="18"/>
        </w:rPr>
        <w:t>János</w:t>
      </w:r>
      <w:proofErr w:type="spellEnd"/>
      <w:r w:rsidRPr="005A0468">
        <w:rPr>
          <w:rFonts w:ascii="Times New Roman" w:hAnsi="Times New Roman" w:cs="Times New Roman"/>
          <w:spacing w:val="-2"/>
          <w:sz w:val="18"/>
          <w:szCs w:val="18"/>
        </w:rPr>
        <w:t xml:space="preserve"> </w:t>
      </w:r>
      <w:proofErr w:type="spellStart"/>
      <w:r w:rsidRPr="005A0468">
        <w:rPr>
          <w:rFonts w:ascii="Times New Roman" w:hAnsi="Times New Roman" w:cs="Times New Roman"/>
          <w:spacing w:val="-2"/>
          <w:sz w:val="18"/>
          <w:szCs w:val="18"/>
        </w:rPr>
        <w:t>Kornai</w:t>
      </w:r>
      <w:proofErr w:type="spellEnd"/>
      <w:r w:rsidRPr="005A0468">
        <w:rPr>
          <w:rFonts w:ascii="Times New Roman" w:hAnsi="Times New Roman" w:cs="Times New Roman"/>
          <w:spacing w:val="-2"/>
          <w:sz w:val="18"/>
          <w:szCs w:val="18"/>
        </w:rPr>
        <w:t xml:space="preserve"> and Susan Rose-Ackerman, eds., </w:t>
      </w:r>
      <w:r w:rsidRPr="005A0468">
        <w:rPr>
          <w:rFonts w:ascii="Times New Roman" w:hAnsi="Times New Roman" w:cs="Times New Roman"/>
          <w:i/>
          <w:spacing w:val="-2"/>
          <w:sz w:val="18"/>
          <w:szCs w:val="18"/>
        </w:rPr>
        <w:t>Building a Trustworthy State in Post-Socialist Transition</w:t>
      </w:r>
      <w:r w:rsidRPr="005A0468">
        <w:rPr>
          <w:rFonts w:ascii="Times New Roman" w:hAnsi="Times New Roman" w:cs="Times New Roman"/>
          <w:spacing w:val="-2"/>
          <w:sz w:val="18"/>
          <w:szCs w:val="18"/>
        </w:rPr>
        <w:t xml:space="preserve"> (New York: Palgrave/Macmillan Press, 2004).</w:t>
      </w:r>
    </w:p>
  </w:footnote>
  <w:footnote w:id="43">
    <w:p w:rsidR="00CF52CA" w:rsidRPr="005A0468" w:rsidRDefault="00CF52CA" w:rsidP="00CF52CA">
      <w:pPr>
        <w:spacing w:after="0" w:line="240" w:lineRule="auto"/>
        <w:rPr>
          <w:rFonts w:ascii="Times New Roman" w:hAnsi="Times New Roman" w:cs="Times New Roman"/>
          <w:sz w:val="18"/>
          <w:szCs w:val="18"/>
        </w:rPr>
      </w:pPr>
      <w:r w:rsidRPr="005A0468">
        <w:rPr>
          <w:rStyle w:val="FootnoteReference"/>
          <w:rFonts w:ascii="Times New Roman" w:hAnsi="Times New Roman" w:cs="Times New Roman"/>
          <w:sz w:val="18"/>
          <w:szCs w:val="18"/>
        </w:rPr>
        <w:footnoteRef/>
      </w:r>
      <w:r w:rsidRPr="005A0468">
        <w:rPr>
          <w:rFonts w:ascii="Times New Roman" w:hAnsi="Times New Roman" w:cs="Times New Roman"/>
          <w:sz w:val="18"/>
          <w:szCs w:val="18"/>
        </w:rPr>
        <w:t xml:space="preserve"> Roman David, </w:t>
      </w:r>
      <w:r w:rsidRPr="005A0468">
        <w:rPr>
          <w:rFonts w:ascii="Times New Roman" w:hAnsi="Times New Roman" w:cs="Times New Roman"/>
          <w:i/>
          <w:sz w:val="18"/>
          <w:szCs w:val="18"/>
        </w:rPr>
        <w:t xml:space="preserve">Lustration and Transitional Justice: Personnel Systems in the Czech Republic, Hungary, and Poland </w:t>
      </w:r>
      <w:r w:rsidRPr="005A0468">
        <w:rPr>
          <w:rFonts w:ascii="Times New Roman" w:hAnsi="Times New Roman" w:cs="Times New Roman"/>
          <w:sz w:val="18"/>
          <w:szCs w:val="18"/>
        </w:rPr>
        <w:t>(Philadelphia: University of Pennsylvania Press, 2011).</w:t>
      </w:r>
    </w:p>
  </w:footnote>
  <w:footnote w:id="44">
    <w:p w:rsidR="00CF52CA" w:rsidRPr="005A0468" w:rsidRDefault="00CF52CA" w:rsidP="00CF52CA">
      <w:pPr>
        <w:spacing w:after="0" w:line="240" w:lineRule="auto"/>
        <w:rPr>
          <w:rFonts w:ascii="Times New Roman" w:hAnsi="Times New Roman" w:cs="Times New Roman"/>
          <w:sz w:val="18"/>
          <w:szCs w:val="18"/>
        </w:rPr>
      </w:pPr>
      <w:r w:rsidRPr="005A0468">
        <w:rPr>
          <w:rStyle w:val="FootnoteReference"/>
          <w:rFonts w:ascii="Times New Roman" w:hAnsi="Times New Roman" w:cs="Times New Roman"/>
          <w:sz w:val="18"/>
          <w:szCs w:val="18"/>
        </w:rPr>
        <w:footnoteRef/>
      </w:r>
      <w:r w:rsidRPr="005A0468">
        <w:rPr>
          <w:rFonts w:ascii="Times New Roman" w:hAnsi="Times New Roman" w:cs="Times New Roman"/>
          <w:sz w:val="18"/>
          <w:szCs w:val="18"/>
        </w:rPr>
        <w:t xml:space="preserve"> David, </w:t>
      </w:r>
      <w:r w:rsidRPr="005A0468">
        <w:rPr>
          <w:rFonts w:ascii="Times New Roman" w:hAnsi="Times New Roman" w:cs="Times New Roman"/>
          <w:i/>
          <w:sz w:val="18"/>
          <w:szCs w:val="18"/>
        </w:rPr>
        <w:t>Lustration</w:t>
      </w:r>
      <w:r w:rsidRPr="005A0468">
        <w:rPr>
          <w:rFonts w:ascii="Times New Roman" w:hAnsi="Times New Roman" w:cs="Times New Roman"/>
          <w:sz w:val="18"/>
          <w:szCs w:val="18"/>
        </w:rPr>
        <w:t xml:space="preserve">; and Cynthia M. Horne, “Assessing the Impact of Lustration on Trust in Public Institutions and National Government in Central and Eastern Europe,” </w:t>
      </w:r>
      <w:r w:rsidRPr="005A0468">
        <w:rPr>
          <w:rFonts w:ascii="Times New Roman" w:hAnsi="Times New Roman" w:cs="Times New Roman"/>
          <w:i/>
          <w:sz w:val="18"/>
          <w:szCs w:val="18"/>
        </w:rPr>
        <w:t>Comparative Political Studies</w:t>
      </w:r>
      <w:r w:rsidRPr="005A0468">
        <w:rPr>
          <w:rFonts w:ascii="Times New Roman" w:hAnsi="Times New Roman" w:cs="Times New Roman"/>
          <w:sz w:val="18"/>
          <w:szCs w:val="18"/>
        </w:rPr>
        <w:t xml:space="preserve"> 45:4 (2012)</w:t>
      </w:r>
      <w:r>
        <w:rPr>
          <w:rFonts w:ascii="Times New Roman" w:hAnsi="Times New Roman" w:cs="Times New Roman"/>
          <w:sz w:val="18"/>
          <w:szCs w:val="18"/>
        </w:rPr>
        <w:t>: 412-446</w:t>
      </w:r>
      <w:r w:rsidRPr="005A0468">
        <w:rPr>
          <w:rFonts w:ascii="Times New Roman" w:hAnsi="Times New Roman" w:cs="Times New Roman"/>
          <w:sz w:val="18"/>
          <w:szCs w:val="18"/>
        </w:rPr>
        <w:t xml:space="preserve">. </w:t>
      </w:r>
    </w:p>
  </w:footnote>
  <w:footnote w:id="45">
    <w:p w:rsidR="00CF52CA" w:rsidRPr="00CA5E1A" w:rsidRDefault="00CF52CA" w:rsidP="00CF52CA">
      <w:pPr>
        <w:spacing w:after="0" w:line="240" w:lineRule="auto"/>
        <w:rPr>
          <w:rFonts w:ascii="Times New Roman" w:eastAsia="MS Mincho" w:hAnsi="Times New Roman" w:cs="Times New Roman"/>
          <w:sz w:val="18"/>
          <w:szCs w:val="18"/>
          <w:lang w:eastAsia="ja-JP"/>
        </w:rPr>
      </w:pPr>
      <w:r w:rsidRPr="00CA5E1A">
        <w:rPr>
          <w:rStyle w:val="FootnoteReference"/>
          <w:rFonts w:ascii="Times New Roman" w:hAnsi="Times New Roman" w:cs="Times New Roman"/>
          <w:sz w:val="18"/>
          <w:szCs w:val="18"/>
        </w:rPr>
        <w:footnoteRef/>
      </w:r>
      <w:r w:rsidRPr="00CA5E1A">
        <w:rPr>
          <w:rFonts w:ascii="Times New Roman" w:hAnsi="Times New Roman" w:cs="Times New Roman"/>
          <w:sz w:val="18"/>
          <w:szCs w:val="18"/>
        </w:rPr>
        <w:t xml:space="preserve"> Alexander Mayer-</w:t>
      </w:r>
      <w:proofErr w:type="spellStart"/>
      <w:r w:rsidRPr="00CA5E1A">
        <w:rPr>
          <w:rFonts w:ascii="Times New Roman" w:hAnsi="Times New Roman" w:cs="Times New Roman"/>
          <w:sz w:val="18"/>
          <w:szCs w:val="18"/>
        </w:rPr>
        <w:t>Rieckh</w:t>
      </w:r>
      <w:proofErr w:type="spellEnd"/>
      <w:r w:rsidRPr="00CA5E1A">
        <w:rPr>
          <w:rFonts w:ascii="Times New Roman" w:hAnsi="Times New Roman" w:cs="Times New Roman"/>
          <w:sz w:val="18"/>
          <w:szCs w:val="18"/>
        </w:rPr>
        <w:t xml:space="preserve"> and Pablo de </w:t>
      </w:r>
      <w:proofErr w:type="spellStart"/>
      <w:r w:rsidRPr="00CA5E1A">
        <w:rPr>
          <w:rFonts w:ascii="Times New Roman" w:hAnsi="Times New Roman" w:cs="Times New Roman"/>
          <w:sz w:val="18"/>
          <w:szCs w:val="18"/>
        </w:rPr>
        <w:t>Greiff</w:t>
      </w:r>
      <w:proofErr w:type="spellEnd"/>
      <w:r w:rsidRPr="00CA5E1A">
        <w:rPr>
          <w:rFonts w:ascii="Times New Roman" w:hAnsi="Times New Roman" w:cs="Times New Roman"/>
          <w:sz w:val="18"/>
          <w:szCs w:val="18"/>
        </w:rPr>
        <w:t>, eds.</w:t>
      </w:r>
      <w:r>
        <w:rPr>
          <w:rFonts w:ascii="Times New Roman" w:hAnsi="Times New Roman" w:cs="Times New Roman"/>
          <w:sz w:val="18"/>
          <w:szCs w:val="18"/>
        </w:rPr>
        <w:t>,</w:t>
      </w:r>
      <w:r w:rsidRPr="00CA5E1A">
        <w:rPr>
          <w:rFonts w:ascii="Times New Roman" w:hAnsi="Times New Roman" w:cs="Times New Roman"/>
          <w:sz w:val="18"/>
          <w:szCs w:val="18"/>
        </w:rPr>
        <w:t xml:space="preserve"> </w:t>
      </w:r>
      <w:r w:rsidRPr="00CA5E1A">
        <w:rPr>
          <w:rFonts w:ascii="Times New Roman" w:hAnsi="Times New Roman" w:cs="Times New Roman"/>
          <w:i/>
          <w:sz w:val="18"/>
          <w:szCs w:val="18"/>
        </w:rPr>
        <w:t>Justice as Prevention: Vetting Public Employees in Transitional Societies</w:t>
      </w:r>
      <w:r w:rsidRPr="00CA5E1A">
        <w:rPr>
          <w:rFonts w:ascii="Times New Roman" w:hAnsi="Times New Roman" w:cs="Times New Roman"/>
          <w:sz w:val="18"/>
          <w:szCs w:val="18"/>
        </w:rPr>
        <w:t xml:space="preserve"> (New York: Social Science Research Council, 2007); Natalia </w:t>
      </w:r>
      <w:proofErr w:type="spellStart"/>
      <w:r w:rsidRPr="00CA5E1A">
        <w:rPr>
          <w:rFonts w:ascii="Times New Roman" w:hAnsi="Times New Roman" w:cs="Times New Roman"/>
          <w:sz w:val="18"/>
          <w:szCs w:val="18"/>
        </w:rPr>
        <w:t>Letki</w:t>
      </w:r>
      <w:proofErr w:type="spellEnd"/>
      <w:r w:rsidRPr="00CA5E1A">
        <w:rPr>
          <w:rFonts w:ascii="Times New Roman" w:hAnsi="Times New Roman" w:cs="Times New Roman"/>
          <w:sz w:val="18"/>
          <w:szCs w:val="18"/>
        </w:rPr>
        <w:t>, “</w:t>
      </w:r>
      <w:r w:rsidRPr="00CA5E1A">
        <w:rPr>
          <w:rFonts w:ascii="Times New Roman" w:eastAsia="MS Mincho" w:hAnsi="Times New Roman" w:cs="Times New Roman"/>
          <w:sz w:val="18"/>
          <w:szCs w:val="18"/>
          <w:lang w:eastAsia="ja-JP"/>
        </w:rPr>
        <w:t xml:space="preserve">Lustration and </w:t>
      </w:r>
      <w:proofErr w:type="spellStart"/>
      <w:r w:rsidRPr="00CA5E1A">
        <w:rPr>
          <w:rFonts w:ascii="Times New Roman" w:eastAsia="MS Mincho" w:hAnsi="Times New Roman" w:cs="Times New Roman"/>
          <w:sz w:val="18"/>
          <w:szCs w:val="18"/>
          <w:lang w:eastAsia="ja-JP"/>
        </w:rPr>
        <w:t>Democratisation</w:t>
      </w:r>
      <w:proofErr w:type="spellEnd"/>
      <w:r w:rsidRPr="00CA5E1A">
        <w:rPr>
          <w:rFonts w:ascii="Times New Roman" w:eastAsia="MS Mincho" w:hAnsi="Times New Roman" w:cs="Times New Roman"/>
          <w:sz w:val="18"/>
          <w:szCs w:val="18"/>
          <w:lang w:eastAsia="ja-JP"/>
        </w:rPr>
        <w:t xml:space="preserve"> in East-Central Europe,”</w:t>
      </w:r>
      <w:r w:rsidRPr="00CA5E1A">
        <w:rPr>
          <w:rFonts w:ascii="Times New Roman" w:eastAsia="MS Mincho" w:hAnsi="Times New Roman" w:cs="Times New Roman"/>
          <w:i/>
          <w:sz w:val="18"/>
          <w:szCs w:val="18"/>
          <w:lang w:eastAsia="ja-JP"/>
        </w:rPr>
        <w:t xml:space="preserve"> Europe-Asia Studies</w:t>
      </w:r>
      <w:r w:rsidRPr="00CA5E1A">
        <w:rPr>
          <w:rFonts w:ascii="Times New Roman" w:eastAsia="MS Mincho" w:hAnsi="Times New Roman" w:cs="Times New Roman"/>
          <w:sz w:val="18"/>
          <w:szCs w:val="18"/>
          <w:lang w:eastAsia="ja-JP"/>
        </w:rPr>
        <w:t xml:space="preserve"> 54:4 (2002)</w:t>
      </w:r>
      <w:r>
        <w:rPr>
          <w:rFonts w:ascii="Times New Roman" w:eastAsia="MS Mincho" w:hAnsi="Times New Roman" w:cs="Times New Roman"/>
          <w:sz w:val="18"/>
          <w:szCs w:val="18"/>
          <w:lang w:eastAsia="ja-JP"/>
        </w:rPr>
        <w:t>: 529-552</w:t>
      </w:r>
      <w:r w:rsidRPr="00CA5E1A">
        <w:rPr>
          <w:rFonts w:ascii="Times New Roman" w:eastAsia="MS Mincho" w:hAnsi="Times New Roman" w:cs="Times New Roman"/>
          <w:sz w:val="18"/>
          <w:szCs w:val="18"/>
          <w:lang w:eastAsia="ja-JP"/>
        </w:rPr>
        <w:t>.</w:t>
      </w:r>
    </w:p>
  </w:footnote>
  <w:footnote w:id="46">
    <w:p w:rsidR="00CF52CA" w:rsidRPr="00CA5E1A" w:rsidRDefault="00CF52CA" w:rsidP="00CF52CA">
      <w:pPr>
        <w:pStyle w:val="FootnoteText"/>
        <w:rPr>
          <w:sz w:val="18"/>
          <w:szCs w:val="18"/>
        </w:rPr>
      </w:pPr>
      <w:r w:rsidRPr="00CA5E1A">
        <w:rPr>
          <w:rStyle w:val="FootnoteReference"/>
          <w:sz w:val="18"/>
          <w:szCs w:val="18"/>
        </w:rPr>
        <w:footnoteRef/>
      </w:r>
      <w:r w:rsidRPr="00CA5E1A">
        <w:rPr>
          <w:sz w:val="18"/>
          <w:szCs w:val="18"/>
        </w:rPr>
        <w:t xml:space="preserve"> </w:t>
      </w:r>
      <w:r>
        <w:rPr>
          <w:sz w:val="18"/>
          <w:szCs w:val="18"/>
        </w:rPr>
        <w:t>Author’s i</w:t>
      </w:r>
      <w:r w:rsidRPr="00CA5E1A">
        <w:rPr>
          <w:sz w:val="18"/>
          <w:szCs w:val="18"/>
        </w:rPr>
        <w:t xml:space="preserve">nterview with </w:t>
      </w:r>
      <w:proofErr w:type="spellStart"/>
      <w:r w:rsidRPr="00CA5E1A">
        <w:rPr>
          <w:sz w:val="18"/>
          <w:szCs w:val="18"/>
        </w:rPr>
        <w:t>Dimitar</w:t>
      </w:r>
      <w:proofErr w:type="spellEnd"/>
      <w:r w:rsidRPr="00CA5E1A">
        <w:rPr>
          <w:sz w:val="18"/>
          <w:szCs w:val="18"/>
        </w:rPr>
        <w:t xml:space="preserve"> Markov, Senior Analyst/Project Director Anti-corruption and Judicial Reform Unit, Center for the Study of Democracy, Sofia, Bulgaria, </w:t>
      </w:r>
      <w:r>
        <w:rPr>
          <w:sz w:val="18"/>
          <w:szCs w:val="18"/>
        </w:rPr>
        <w:t>2 July 2012, and author’s i</w:t>
      </w:r>
      <w:r w:rsidRPr="00CA5E1A">
        <w:rPr>
          <w:sz w:val="18"/>
          <w:szCs w:val="18"/>
        </w:rPr>
        <w:t xml:space="preserve">nterview with Alexander </w:t>
      </w:r>
      <w:proofErr w:type="spellStart"/>
      <w:r w:rsidRPr="00CA5E1A">
        <w:rPr>
          <w:sz w:val="18"/>
          <w:szCs w:val="18"/>
        </w:rPr>
        <w:t>Stoyanov</w:t>
      </w:r>
      <w:proofErr w:type="spellEnd"/>
      <w:r w:rsidRPr="00CA5E1A">
        <w:rPr>
          <w:sz w:val="18"/>
          <w:szCs w:val="18"/>
        </w:rPr>
        <w:t xml:space="preserve">, Director Research </w:t>
      </w:r>
      <w:proofErr w:type="spellStart"/>
      <w:r w:rsidRPr="00CA5E1A">
        <w:rPr>
          <w:sz w:val="18"/>
          <w:szCs w:val="18"/>
        </w:rPr>
        <w:t>Vitosha</w:t>
      </w:r>
      <w:proofErr w:type="spellEnd"/>
      <w:r w:rsidRPr="00CA5E1A">
        <w:rPr>
          <w:sz w:val="18"/>
          <w:szCs w:val="18"/>
        </w:rPr>
        <w:t>, Sofia, Bulgaria</w:t>
      </w:r>
      <w:r>
        <w:rPr>
          <w:sz w:val="18"/>
          <w:szCs w:val="18"/>
        </w:rPr>
        <w:t>, 5 July 2012.</w:t>
      </w:r>
    </w:p>
  </w:footnote>
  <w:footnote w:id="47">
    <w:p w:rsidR="00CF52CA" w:rsidRPr="00CA5E1A" w:rsidRDefault="00CF52CA" w:rsidP="00CF52CA">
      <w:pPr>
        <w:spacing w:after="0" w:line="240" w:lineRule="auto"/>
        <w:rPr>
          <w:rFonts w:ascii="Times New Roman" w:eastAsia="Calibri" w:hAnsi="Times New Roman" w:cs="Times New Roman"/>
          <w:sz w:val="18"/>
          <w:szCs w:val="18"/>
        </w:rPr>
      </w:pPr>
      <w:r w:rsidRPr="00CA5E1A">
        <w:rPr>
          <w:rStyle w:val="FootnoteReference"/>
          <w:rFonts w:ascii="Times New Roman" w:hAnsi="Times New Roman" w:cs="Times New Roman"/>
          <w:sz w:val="18"/>
          <w:szCs w:val="18"/>
        </w:rPr>
        <w:footnoteRef/>
      </w:r>
      <w:r w:rsidRPr="00CA5E1A">
        <w:rPr>
          <w:rFonts w:ascii="Times New Roman" w:eastAsia="Calibri" w:hAnsi="Times New Roman" w:cs="Times New Roman"/>
          <w:sz w:val="18"/>
          <w:szCs w:val="18"/>
        </w:rPr>
        <w:t xml:space="preserve"> Lavinia Stan,</w:t>
      </w:r>
      <w:r w:rsidRPr="00CA5E1A">
        <w:rPr>
          <w:rFonts w:ascii="Times New Roman" w:hAnsi="Times New Roman" w:cs="Times New Roman"/>
          <w:sz w:val="18"/>
          <w:szCs w:val="18"/>
        </w:rPr>
        <w:t xml:space="preserve"> </w:t>
      </w:r>
      <w:r w:rsidRPr="00CA5E1A">
        <w:rPr>
          <w:rFonts w:ascii="Times New Roman" w:eastAsia="Calibri" w:hAnsi="Times New Roman" w:cs="Times New Roman"/>
          <w:sz w:val="18"/>
          <w:szCs w:val="18"/>
        </w:rPr>
        <w:t xml:space="preserve">“The Romanian Anticorruption Bill,” </w:t>
      </w:r>
      <w:r w:rsidRPr="00CA5E1A">
        <w:rPr>
          <w:rFonts w:ascii="Times New Roman" w:eastAsia="Calibri" w:hAnsi="Times New Roman" w:cs="Times New Roman"/>
          <w:i/>
          <w:sz w:val="18"/>
          <w:szCs w:val="18"/>
        </w:rPr>
        <w:t>Studies in Post-Communism</w:t>
      </w:r>
      <w:r w:rsidRPr="00CA5E1A">
        <w:rPr>
          <w:rFonts w:ascii="Times New Roman" w:eastAsia="Calibri" w:hAnsi="Times New Roman" w:cs="Times New Roman"/>
          <w:sz w:val="18"/>
          <w:szCs w:val="18"/>
        </w:rPr>
        <w:t>, Centre for Post- Communist Studies, St. Francis Xavier University</w:t>
      </w:r>
      <w:r w:rsidRPr="00CA5E1A">
        <w:rPr>
          <w:rFonts w:ascii="Times New Roman" w:hAnsi="Times New Roman" w:cs="Times New Roman"/>
          <w:sz w:val="18"/>
          <w:szCs w:val="18"/>
        </w:rPr>
        <w:t>, Occasional Paper no. 6 (2004)</w:t>
      </w:r>
      <w:r w:rsidRPr="00CA5E1A">
        <w:rPr>
          <w:rFonts w:ascii="Times New Roman" w:eastAsia="Calibri" w:hAnsi="Times New Roman" w:cs="Times New Roman"/>
          <w:sz w:val="18"/>
          <w:szCs w:val="18"/>
        </w:rPr>
        <w:t>.</w:t>
      </w:r>
    </w:p>
  </w:footnote>
  <w:footnote w:id="48">
    <w:p w:rsidR="00CF52CA" w:rsidRPr="00CA5E1A" w:rsidRDefault="00CF52CA" w:rsidP="00CF52CA">
      <w:pPr>
        <w:pStyle w:val="FootnoteText"/>
        <w:rPr>
          <w:i/>
          <w:sz w:val="18"/>
          <w:szCs w:val="18"/>
        </w:rPr>
      </w:pPr>
      <w:r w:rsidRPr="00CA5E1A">
        <w:rPr>
          <w:rStyle w:val="FootnoteReference"/>
          <w:sz w:val="18"/>
          <w:szCs w:val="18"/>
        </w:rPr>
        <w:footnoteRef/>
      </w:r>
      <w:r w:rsidRPr="00CA5E1A">
        <w:rPr>
          <w:sz w:val="18"/>
          <w:szCs w:val="18"/>
        </w:rPr>
        <w:t xml:space="preserve"> Stan, “Witch Hunt or Moral Rebirth</w:t>
      </w:r>
      <w:proofErr w:type="gramStart"/>
      <w:r w:rsidRPr="00CA5E1A">
        <w:rPr>
          <w:sz w:val="18"/>
          <w:szCs w:val="18"/>
        </w:rPr>
        <w:t>?</w:t>
      </w:r>
      <w:r>
        <w:rPr>
          <w:sz w:val="18"/>
          <w:szCs w:val="18"/>
        </w:rPr>
        <w:t>,</w:t>
      </w:r>
      <w:proofErr w:type="gramEnd"/>
      <w:r w:rsidRPr="00CA5E1A">
        <w:rPr>
          <w:sz w:val="18"/>
          <w:szCs w:val="18"/>
        </w:rPr>
        <w:t>”</w:t>
      </w:r>
      <w:r w:rsidRPr="00CA5E1A">
        <w:rPr>
          <w:i/>
          <w:sz w:val="18"/>
          <w:szCs w:val="18"/>
        </w:rPr>
        <w:t xml:space="preserve"> </w:t>
      </w:r>
      <w:r w:rsidRPr="00CA5E1A">
        <w:rPr>
          <w:sz w:val="18"/>
          <w:szCs w:val="18"/>
        </w:rPr>
        <w:t>276.</w:t>
      </w:r>
    </w:p>
  </w:footnote>
  <w:footnote w:id="49">
    <w:p w:rsidR="00CF52CA" w:rsidRPr="00CA5E1A" w:rsidRDefault="00CF52CA" w:rsidP="00CF52CA">
      <w:pPr>
        <w:pStyle w:val="FootnoteText"/>
        <w:rPr>
          <w:sz w:val="18"/>
          <w:szCs w:val="18"/>
        </w:rPr>
      </w:pPr>
      <w:r w:rsidRPr="00CA5E1A">
        <w:rPr>
          <w:rStyle w:val="FootnoteReference"/>
          <w:sz w:val="18"/>
          <w:szCs w:val="18"/>
        </w:rPr>
        <w:footnoteRef/>
      </w:r>
      <w:r w:rsidRPr="00CA5E1A">
        <w:rPr>
          <w:sz w:val="18"/>
          <w:szCs w:val="18"/>
        </w:rPr>
        <w:t xml:space="preserve"> </w:t>
      </w:r>
      <w:proofErr w:type="gramStart"/>
      <w:r w:rsidRPr="00CA5E1A">
        <w:rPr>
          <w:sz w:val="18"/>
          <w:szCs w:val="18"/>
        </w:rPr>
        <w:t>Ibid.,</w:t>
      </w:r>
      <w:proofErr w:type="gramEnd"/>
      <w:r w:rsidRPr="00CA5E1A">
        <w:rPr>
          <w:sz w:val="18"/>
          <w:szCs w:val="18"/>
        </w:rPr>
        <w:t xml:space="preserve"> 283.</w:t>
      </w:r>
    </w:p>
  </w:footnote>
  <w:footnote w:id="50">
    <w:p w:rsidR="00CF52CA" w:rsidRPr="00CA5E1A" w:rsidRDefault="00CF52CA" w:rsidP="00CF52CA">
      <w:pPr>
        <w:pStyle w:val="FootnoteText"/>
        <w:rPr>
          <w:sz w:val="18"/>
          <w:szCs w:val="18"/>
        </w:rPr>
      </w:pPr>
      <w:r w:rsidRPr="00CA5E1A">
        <w:rPr>
          <w:rStyle w:val="FootnoteReference"/>
          <w:sz w:val="18"/>
          <w:szCs w:val="18"/>
        </w:rPr>
        <w:footnoteRef/>
      </w:r>
      <w:r w:rsidRPr="00CA5E1A">
        <w:rPr>
          <w:sz w:val="18"/>
          <w:szCs w:val="18"/>
        </w:rPr>
        <w:t xml:space="preserve"> </w:t>
      </w:r>
      <w:r>
        <w:rPr>
          <w:sz w:val="18"/>
          <w:szCs w:val="18"/>
        </w:rPr>
        <w:t>Author’s interviews with m</w:t>
      </w:r>
      <w:r w:rsidRPr="00CA5E1A">
        <w:rPr>
          <w:sz w:val="18"/>
          <w:szCs w:val="18"/>
        </w:rPr>
        <w:t xml:space="preserve">embers of the </w:t>
      </w:r>
      <w:r>
        <w:rPr>
          <w:sz w:val="18"/>
          <w:szCs w:val="18"/>
        </w:rPr>
        <w:t xml:space="preserve">CNSAS Collegium, </w:t>
      </w:r>
      <w:r w:rsidRPr="00CA5E1A">
        <w:rPr>
          <w:sz w:val="18"/>
          <w:szCs w:val="18"/>
        </w:rPr>
        <w:t>Bucharest, Romania, October 2012.</w:t>
      </w:r>
    </w:p>
  </w:footnote>
  <w:footnote w:id="51">
    <w:p w:rsidR="00CF52CA" w:rsidRPr="00B35103" w:rsidRDefault="00CF52CA" w:rsidP="00CF52CA">
      <w:pPr>
        <w:spacing w:after="0" w:line="240" w:lineRule="auto"/>
        <w:rPr>
          <w:rFonts w:ascii="Times New Roman" w:hAnsi="Times New Roman" w:cs="Times New Roman"/>
          <w:sz w:val="18"/>
          <w:szCs w:val="18"/>
        </w:rPr>
      </w:pPr>
      <w:r w:rsidRPr="00B35103">
        <w:rPr>
          <w:rStyle w:val="FootnoteReference"/>
          <w:rFonts w:ascii="Times New Roman" w:hAnsi="Times New Roman" w:cs="Times New Roman"/>
          <w:sz w:val="18"/>
          <w:szCs w:val="18"/>
        </w:rPr>
        <w:footnoteRef/>
      </w:r>
      <w:r w:rsidRPr="00B35103">
        <w:rPr>
          <w:rFonts w:ascii="Times New Roman" w:hAnsi="Times New Roman" w:cs="Times New Roman"/>
          <w:sz w:val="18"/>
          <w:szCs w:val="18"/>
        </w:rPr>
        <w:t xml:space="preserve"> Guillermo O’Donnell and Philippe </w:t>
      </w:r>
      <w:proofErr w:type="spellStart"/>
      <w:r w:rsidRPr="00B35103">
        <w:rPr>
          <w:rFonts w:ascii="Times New Roman" w:hAnsi="Times New Roman" w:cs="Times New Roman"/>
          <w:sz w:val="18"/>
          <w:szCs w:val="18"/>
        </w:rPr>
        <w:t>Schmitter</w:t>
      </w:r>
      <w:proofErr w:type="spellEnd"/>
      <w:r w:rsidRPr="00B35103">
        <w:rPr>
          <w:rFonts w:ascii="Times New Roman" w:hAnsi="Times New Roman" w:cs="Times New Roman"/>
          <w:sz w:val="18"/>
          <w:szCs w:val="18"/>
        </w:rPr>
        <w:t xml:space="preserve">. </w:t>
      </w:r>
      <w:r w:rsidRPr="00B35103">
        <w:rPr>
          <w:rFonts w:ascii="Times New Roman" w:hAnsi="Times New Roman" w:cs="Times New Roman"/>
          <w:i/>
          <w:sz w:val="18"/>
          <w:szCs w:val="18"/>
        </w:rPr>
        <w:t xml:space="preserve">Transitions from Authoritarian Rule: Tentative Conclusions about Uncertain Democracies </w:t>
      </w:r>
      <w:r w:rsidRPr="00B35103">
        <w:rPr>
          <w:rFonts w:ascii="Times New Roman" w:hAnsi="Times New Roman" w:cs="Times New Roman"/>
          <w:sz w:val="18"/>
          <w:szCs w:val="18"/>
        </w:rPr>
        <w:t xml:space="preserve">(Baltimore: The Johns Hopkins University Press, 1986); and Samuel Huntington, </w:t>
      </w:r>
      <w:r w:rsidRPr="00B35103">
        <w:rPr>
          <w:rFonts w:ascii="Times New Roman" w:hAnsi="Times New Roman" w:cs="Times New Roman"/>
          <w:i/>
          <w:sz w:val="18"/>
          <w:szCs w:val="18"/>
        </w:rPr>
        <w:t xml:space="preserve">The Third Wave: Democratization in the Late Twentieth Century </w:t>
      </w:r>
      <w:r w:rsidRPr="00B35103">
        <w:rPr>
          <w:rFonts w:ascii="Times New Roman" w:hAnsi="Times New Roman" w:cs="Times New Roman"/>
          <w:sz w:val="18"/>
          <w:szCs w:val="18"/>
        </w:rPr>
        <w:t>(Norman: University of Oklahoma Press, 1991).</w:t>
      </w:r>
    </w:p>
  </w:footnote>
  <w:footnote w:id="52">
    <w:p w:rsidR="00CF52CA" w:rsidRPr="00B35103" w:rsidRDefault="00CF52CA" w:rsidP="00CF52CA">
      <w:pPr>
        <w:spacing w:after="0" w:line="240" w:lineRule="auto"/>
        <w:rPr>
          <w:rFonts w:cs="Times New Roman"/>
          <w:sz w:val="18"/>
          <w:szCs w:val="18"/>
        </w:rPr>
      </w:pPr>
      <w:r w:rsidRPr="00B35103">
        <w:rPr>
          <w:rStyle w:val="FootnoteReference"/>
          <w:rFonts w:ascii="Times New Roman" w:hAnsi="Times New Roman" w:cs="Times New Roman"/>
          <w:sz w:val="18"/>
          <w:szCs w:val="18"/>
        </w:rPr>
        <w:footnoteRef/>
      </w:r>
      <w:r w:rsidRPr="00B35103">
        <w:rPr>
          <w:rFonts w:ascii="Times New Roman" w:hAnsi="Times New Roman" w:cs="Times New Roman"/>
          <w:sz w:val="18"/>
          <w:szCs w:val="18"/>
        </w:rPr>
        <w:t xml:space="preserve"> Jon </w:t>
      </w:r>
      <w:proofErr w:type="spellStart"/>
      <w:r w:rsidRPr="00B35103">
        <w:rPr>
          <w:rFonts w:ascii="Times New Roman" w:hAnsi="Times New Roman" w:cs="Times New Roman"/>
          <w:sz w:val="18"/>
          <w:szCs w:val="18"/>
        </w:rPr>
        <w:t>Elster</w:t>
      </w:r>
      <w:proofErr w:type="spellEnd"/>
      <w:r w:rsidRPr="00B35103">
        <w:rPr>
          <w:rFonts w:ascii="Times New Roman" w:hAnsi="Times New Roman" w:cs="Times New Roman"/>
          <w:sz w:val="18"/>
          <w:szCs w:val="18"/>
        </w:rPr>
        <w:t>, ed.</w:t>
      </w:r>
      <w:r>
        <w:rPr>
          <w:rFonts w:ascii="Times New Roman" w:hAnsi="Times New Roman" w:cs="Times New Roman"/>
          <w:sz w:val="18"/>
          <w:szCs w:val="18"/>
        </w:rPr>
        <w:t>,</w:t>
      </w:r>
      <w:r w:rsidRPr="00B35103">
        <w:rPr>
          <w:rFonts w:ascii="Times New Roman" w:hAnsi="Times New Roman" w:cs="Times New Roman"/>
          <w:sz w:val="18"/>
          <w:szCs w:val="18"/>
        </w:rPr>
        <w:t xml:space="preserve"> </w:t>
      </w:r>
      <w:r w:rsidRPr="00B35103">
        <w:rPr>
          <w:rFonts w:ascii="Times New Roman" w:hAnsi="Times New Roman" w:cs="Times New Roman"/>
          <w:i/>
          <w:sz w:val="18"/>
          <w:szCs w:val="18"/>
        </w:rPr>
        <w:t>Retribution and Reparation in the Transition to Democracy</w:t>
      </w:r>
      <w:r w:rsidRPr="00B35103">
        <w:rPr>
          <w:rFonts w:ascii="Times New Roman" w:hAnsi="Times New Roman" w:cs="Times New Roman"/>
          <w:sz w:val="18"/>
          <w:szCs w:val="18"/>
        </w:rPr>
        <w:t xml:space="preserve"> (New York: Cambridge University Press, 2006). </w:t>
      </w:r>
    </w:p>
  </w:footnote>
  <w:footnote w:id="53">
    <w:p w:rsidR="00CF52CA" w:rsidRPr="00141350" w:rsidRDefault="00CF52CA" w:rsidP="00CF52CA">
      <w:pPr>
        <w:pStyle w:val="FootnoteText"/>
        <w:rPr>
          <w:sz w:val="18"/>
          <w:szCs w:val="18"/>
        </w:rPr>
      </w:pPr>
      <w:r w:rsidRPr="00141350">
        <w:rPr>
          <w:rStyle w:val="FootnoteReference"/>
          <w:sz w:val="18"/>
          <w:szCs w:val="18"/>
        </w:rPr>
        <w:footnoteRef/>
      </w:r>
      <w:r w:rsidRPr="00141350">
        <w:rPr>
          <w:sz w:val="18"/>
          <w:szCs w:val="18"/>
        </w:rPr>
        <w:t xml:space="preserve"> </w:t>
      </w:r>
      <w:proofErr w:type="spellStart"/>
      <w:r w:rsidRPr="00141350">
        <w:rPr>
          <w:sz w:val="18"/>
          <w:szCs w:val="18"/>
        </w:rPr>
        <w:t>Letki</w:t>
      </w:r>
      <w:proofErr w:type="spellEnd"/>
      <w:r>
        <w:rPr>
          <w:sz w:val="18"/>
          <w:szCs w:val="18"/>
        </w:rPr>
        <w:t>,</w:t>
      </w:r>
      <w:r w:rsidRPr="00141350">
        <w:rPr>
          <w:sz w:val="18"/>
          <w:szCs w:val="18"/>
        </w:rPr>
        <w:t xml:space="preserve"> “Lustration and </w:t>
      </w:r>
      <w:proofErr w:type="spellStart"/>
      <w:r w:rsidRPr="00141350">
        <w:rPr>
          <w:sz w:val="18"/>
          <w:szCs w:val="18"/>
        </w:rPr>
        <w:t>Democratisation</w:t>
      </w:r>
      <w:proofErr w:type="spellEnd"/>
      <w:r w:rsidRPr="00141350">
        <w:rPr>
          <w:sz w:val="18"/>
          <w:szCs w:val="18"/>
        </w:rPr>
        <w:t>”; Mayer-</w:t>
      </w:r>
      <w:proofErr w:type="spellStart"/>
      <w:r w:rsidRPr="00141350">
        <w:rPr>
          <w:sz w:val="18"/>
          <w:szCs w:val="18"/>
        </w:rPr>
        <w:t>Rieckh</w:t>
      </w:r>
      <w:proofErr w:type="spellEnd"/>
      <w:r w:rsidRPr="00141350">
        <w:rPr>
          <w:sz w:val="18"/>
          <w:szCs w:val="18"/>
        </w:rPr>
        <w:t xml:space="preserve"> and de </w:t>
      </w:r>
      <w:proofErr w:type="spellStart"/>
      <w:r w:rsidRPr="00141350">
        <w:rPr>
          <w:sz w:val="18"/>
          <w:szCs w:val="18"/>
        </w:rPr>
        <w:t>Greiff</w:t>
      </w:r>
      <w:proofErr w:type="spellEnd"/>
      <w:r w:rsidRPr="00141350">
        <w:rPr>
          <w:sz w:val="18"/>
          <w:szCs w:val="18"/>
        </w:rPr>
        <w:t>, “Justice as Prevention.”</w:t>
      </w:r>
    </w:p>
  </w:footnote>
  <w:footnote w:id="54">
    <w:p w:rsidR="00CF52CA" w:rsidRPr="00DB045C" w:rsidRDefault="00CF52CA" w:rsidP="00CF52CA">
      <w:pPr>
        <w:autoSpaceDE w:val="0"/>
        <w:autoSpaceDN w:val="0"/>
        <w:adjustRightInd w:val="0"/>
        <w:spacing w:after="0" w:line="240" w:lineRule="auto"/>
        <w:rPr>
          <w:rFonts w:ascii="Times New Roman" w:hAnsi="Times New Roman" w:cs="Times New Roman"/>
          <w:sz w:val="18"/>
          <w:szCs w:val="18"/>
          <w:shd w:val="clear" w:color="auto" w:fill="FFFFFF"/>
        </w:rPr>
      </w:pPr>
      <w:r w:rsidRPr="00DB045C">
        <w:rPr>
          <w:rStyle w:val="FootnoteReference"/>
          <w:rFonts w:ascii="Times New Roman" w:hAnsi="Times New Roman" w:cs="Times New Roman"/>
          <w:sz w:val="18"/>
          <w:szCs w:val="18"/>
        </w:rPr>
        <w:footnoteRef/>
      </w:r>
      <w:r w:rsidRPr="00DB045C">
        <w:rPr>
          <w:rFonts w:ascii="Times New Roman" w:hAnsi="Times New Roman" w:cs="Times New Roman"/>
          <w:sz w:val="18"/>
          <w:szCs w:val="18"/>
        </w:rPr>
        <w:t xml:space="preserve"> </w:t>
      </w:r>
      <w:r w:rsidRPr="00DB045C">
        <w:rPr>
          <w:rFonts w:ascii="Times New Roman" w:hAnsi="Times New Roman" w:cs="Times New Roman"/>
          <w:sz w:val="18"/>
          <w:szCs w:val="18"/>
          <w:shd w:val="clear" w:color="auto" w:fill="FFFFFF"/>
        </w:rPr>
        <w:t xml:space="preserve">Vladimir </w:t>
      </w:r>
      <w:proofErr w:type="spellStart"/>
      <w:r w:rsidRPr="00DB045C">
        <w:rPr>
          <w:rFonts w:ascii="Times New Roman" w:hAnsi="Times New Roman" w:cs="Times New Roman"/>
          <w:sz w:val="18"/>
          <w:szCs w:val="18"/>
          <w:shd w:val="clear" w:color="auto" w:fill="FFFFFF"/>
        </w:rPr>
        <w:t>Tismăneanu</w:t>
      </w:r>
      <w:proofErr w:type="spellEnd"/>
      <w:r w:rsidRPr="00DB045C">
        <w:rPr>
          <w:rFonts w:ascii="Times New Roman" w:hAnsi="Times New Roman" w:cs="Times New Roman"/>
          <w:sz w:val="18"/>
          <w:szCs w:val="18"/>
          <w:shd w:val="clear" w:color="auto" w:fill="FFFFFF"/>
        </w:rPr>
        <w:t>, “Democracy and Memory: Romania Confronts Its Communist Past,”</w:t>
      </w:r>
      <w:r w:rsidRPr="00DB045C">
        <w:rPr>
          <w:rStyle w:val="apple-converted-space"/>
          <w:rFonts w:ascii="Times New Roman" w:hAnsi="Times New Roman" w:cs="Times New Roman"/>
          <w:sz w:val="18"/>
          <w:szCs w:val="18"/>
          <w:shd w:val="clear" w:color="auto" w:fill="FFFFFF"/>
        </w:rPr>
        <w:t> </w:t>
      </w:r>
      <w:r w:rsidRPr="00DB045C">
        <w:rPr>
          <w:rFonts w:ascii="Times New Roman" w:hAnsi="Times New Roman" w:cs="Times New Roman"/>
          <w:i/>
          <w:iCs/>
          <w:sz w:val="18"/>
          <w:szCs w:val="18"/>
          <w:shd w:val="clear" w:color="auto" w:fill="FFFFFF"/>
        </w:rPr>
        <w:t>The Annals of the American Academy of Political and Social Science</w:t>
      </w:r>
      <w:r>
        <w:rPr>
          <w:rFonts w:ascii="Times New Roman" w:hAnsi="Times New Roman" w:cs="Times New Roman"/>
          <w:sz w:val="18"/>
          <w:szCs w:val="18"/>
          <w:shd w:val="clear" w:color="auto" w:fill="FFFFFF"/>
        </w:rPr>
        <w:t xml:space="preserve">, </w:t>
      </w:r>
      <w:r w:rsidRPr="00DB045C">
        <w:rPr>
          <w:rFonts w:ascii="Times New Roman" w:hAnsi="Times New Roman" w:cs="Times New Roman"/>
          <w:sz w:val="18"/>
          <w:szCs w:val="18"/>
          <w:shd w:val="clear" w:color="auto" w:fill="FFFFFF"/>
        </w:rPr>
        <w:t>617 (2008)</w:t>
      </w:r>
      <w:r>
        <w:rPr>
          <w:rFonts w:ascii="Times New Roman" w:hAnsi="Times New Roman" w:cs="Times New Roman"/>
          <w:sz w:val="18"/>
          <w:szCs w:val="18"/>
          <w:shd w:val="clear" w:color="auto" w:fill="FFFFFF"/>
        </w:rPr>
        <w:t>: 166-180</w:t>
      </w:r>
      <w:r w:rsidRPr="00DB045C">
        <w:rPr>
          <w:rFonts w:ascii="Times New Roman" w:hAnsi="Times New Roman" w:cs="Times New Roman"/>
          <w:sz w:val="18"/>
          <w:szCs w:val="18"/>
          <w:shd w:val="clear" w:color="auto" w:fill="FFFFFF"/>
        </w:rPr>
        <w:t xml:space="preserve">; and </w:t>
      </w:r>
      <w:r>
        <w:rPr>
          <w:rFonts w:ascii="Times New Roman" w:hAnsi="Times New Roman" w:cs="Times New Roman"/>
          <w:sz w:val="18"/>
          <w:szCs w:val="18"/>
          <w:shd w:val="clear" w:color="auto" w:fill="FFFFFF"/>
        </w:rPr>
        <w:t>author’s i</w:t>
      </w:r>
      <w:r>
        <w:rPr>
          <w:rStyle w:val="EndnoteReference"/>
          <w:rFonts w:ascii="Times New Roman" w:hAnsi="Times New Roman" w:cs="Times New Roman"/>
          <w:color w:val="000000"/>
          <w:sz w:val="18"/>
          <w:szCs w:val="18"/>
          <w:vertAlign w:val="baseline"/>
        </w:rPr>
        <w:t xml:space="preserve">nterview with </w:t>
      </w:r>
      <w:proofErr w:type="spellStart"/>
      <w:r>
        <w:rPr>
          <w:rStyle w:val="EndnoteReference"/>
          <w:rFonts w:ascii="Times New Roman" w:hAnsi="Times New Roman" w:cs="Times New Roman"/>
          <w:color w:val="000000"/>
          <w:sz w:val="18"/>
          <w:szCs w:val="18"/>
          <w:vertAlign w:val="baseline"/>
        </w:rPr>
        <w:t>Mircea</w:t>
      </w:r>
      <w:proofErr w:type="spellEnd"/>
      <w:r>
        <w:rPr>
          <w:rStyle w:val="EndnoteReference"/>
          <w:rFonts w:ascii="Times New Roman" w:hAnsi="Times New Roman" w:cs="Times New Roman"/>
          <w:color w:val="000000"/>
          <w:sz w:val="18"/>
          <w:szCs w:val="18"/>
          <w:vertAlign w:val="baseline"/>
        </w:rPr>
        <w:t xml:space="preserve"> </w:t>
      </w:r>
      <w:proofErr w:type="spellStart"/>
      <w:r>
        <w:rPr>
          <w:rStyle w:val="EndnoteReference"/>
          <w:rFonts w:ascii="Times New Roman" w:hAnsi="Times New Roman" w:cs="Times New Roman"/>
          <w:color w:val="000000"/>
          <w:sz w:val="18"/>
          <w:szCs w:val="18"/>
          <w:vertAlign w:val="baseline"/>
        </w:rPr>
        <w:t>Stanescu</w:t>
      </w:r>
      <w:proofErr w:type="spellEnd"/>
      <w:r>
        <w:rPr>
          <w:rStyle w:val="EndnoteReference"/>
          <w:rFonts w:ascii="Times New Roman" w:hAnsi="Times New Roman" w:cs="Times New Roman"/>
          <w:color w:val="000000"/>
          <w:sz w:val="18"/>
          <w:szCs w:val="18"/>
          <w:vertAlign w:val="baseline"/>
        </w:rPr>
        <w:t>, h</w:t>
      </w:r>
      <w:r w:rsidRPr="00DB045C">
        <w:rPr>
          <w:rStyle w:val="EndnoteReference"/>
          <w:rFonts w:ascii="Times New Roman" w:hAnsi="Times New Roman" w:cs="Times New Roman"/>
          <w:color w:val="000000"/>
          <w:sz w:val="18"/>
          <w:szCs w:val="18"/>
          <w:vertAlign w:val="baseline"/>
        </w:rPr>
        <w:t xml:space="preserve">istorian at the National Archives and formerly with the </w:t>
      </w:r>
      <w:r>
        <w:rPr>
          <w:rStyle w:val="EndnoteReference"/>
          <w:rFonts w:ascii="Times New Roman" w:hAnsi="Times New Roman" w:cs="Times New Roman"/>
          <w:color w:val="000000"/>
          <w:sz w:val="18"/>
          <w:szCs w:val="18"/>
          <w:vertAlign w:val="baseline"/>
        </w:rPr>
        <w:t>CNSAS</w:t>
      </w:r>
      <w:r w:rsidRPr="00DB045C">
        <w:rPr>
          <w:rStyle w:val="EndnoteReference"/>
          <w:rFonts w:ascii="Times New Roman" w:hAnsi="Times New Roman" w:cs="Times New Roman"/>
          <w:color w:val="000000"/>
          <w:sz w:val="18"/>
          <w:szCs w:val="18"/>
          <w:vertAlign w:val="baseline"/>
        </w:rPr>
        <w:t>, Bucharest</w:t>
      </w:r>
      <w:r>
        <w:rPr>
          <w:rFonts w:ascii="Times New Roman" w:hAnsi="Times New Roman" w:cs="Times New Roman"/>
          <w:color w:val="000000"/>
          <w:sz w:val="18"/>
          <w:szCs w:val="18"/>
        </w:rPr>
        <w:t>,</w:t>
      </w:r>
      <w:r w:rsidRPr="00DB045C">
        <w:rPr>
          <w:rStyle w:val="EndnoteReference"/>
          <w:rFonts w:ascii="Times New Roman" w:hAnsi="Times New Roman" w:cs="Times New Roman"/>
          <w:color w:val="000000"/>
          <w:sz w:val="18"/>
          <w:szCs w:val="18"/>
          <w:vertAlign w:val="baseline"/>
        </w:rPr>
        <w:t xml:space="preserve"> Romania, October 2012.</w:t>
      </w:r>
    </w:p>
  </w:footnote>
  <w:footnote w:id="55">
    <w:p w:rsidR="00CF52CA" w:rsidRPr="00DB045C" w:rsidRDefault="00CF52CA" w:rsidP="00CF52CA">
      <w:pPr>
        <w:pStyle w:val="FootnoteText"/>
        <w:rPr>
          <w:sz w:val="18"/>
          <w:szCs w:val="18"/>
        </w:rPr>
      </w:pPr>
      <w:r w:rsidRPr="00DB045C">
        <w:rPr>
          <w:rStyle w:val="FootnoteReference"/>
          <w:sz w:val="18"/>
          <w:szCs w:val="18"/>
        </w:rPr>
        <w:footnoteRef/>
      </w:r>
      <w:r w:rsidRPr="00DB045C">
        <w:rPr>
          <w:sz w:val="18"/>
          <w:szCs w:val="18"/>
        </w:rPr>
        <w:t xml:space="preserve"> </w:t>
      </w:r>
      <w:proofErr w:type="spellStart"/>
      <w:r w:rsidRPr="00DB045C">
        <w:rPr>
          <w:sz w:val="18"/>
          <w:szCs w:val="18"/>
        </w:rPr>
        <w:t>Maxfield</w:t>
      </w:r>
      <w:proofErr w:type="spellEnd"/>
      <w:r w:rsidRPr="00DB045C">
        <w:rPr>
          <w:sz w:val="18"/>
          <w:szCs w:val="18"/>
        </w:rPr>
        <w:t>, “Romania,” 403.</w:t>
      </w:r>
    </w:p>
  </w:footnote>
  <w:footnote w:id="56">
    <w:p w:rsidR="00CF52CA" w:rsidRPr="00DB045C" w:rsidRDefault="00CF52CA" w:rsidP="00CF52CA">
      <w:pPr>
        <w:autoSpaceDE w:val="0"/>
        <w:autoSpaceDN w:val="0"/>
        <w:adjustRightInd w:val="0"/>
        <w:spacing w:after="0" w:line="240" w:lineRule="auto"/>
        <w:rPr>
          <w:rFonts w:ascii="Times New Roman" w:hAnsi="Times New Roman" w:cs="Times New Roman"/>
          <w:color w:val="000000"/>
          <w:sz w:val="18"/>
          <w:szCs w:val="18"/>
        </w:rPr>
      </w:pPr>
      <w:r w:rsidRPr="00DB045C">
        <w:rPr>
          <w:rStyle w:val="FootnoteReference"/>
          <w:rFonts w:ascii="Times New Roman" w:hAnsi="Times New Roman" w:cs="Times New Roman"/>
          <w:sz w:val="18"/>
          <w:szCs w:val="18"/>
        </w:rPr>
        <w:footnoteRef/>
      </w:r>
      <w:r w:rsidRPr="00DB045C">
        <w:rPr>
          <w:rFonts w:ascii="Times New Roman" w:hAnsi="Times New Roman" w:cs="Times New Roman"/>
          <w:sz w:val="18"/>
          <w:szCs w:val="18"/>
        </w:rPr>
        <w:t xml:space="preserve"> </w:t>
      </w:r>
      <w:r w:rsidRPr="00DB045C">
        <w:rPr>
          <w:rFonts w:ascii="Times New Roman" w:hAnsi="Times New Roman" w:cs="Times New Roman"/>
          <w:color w:val="000000"/>
          <w:sz w:val="18"/>
          <w:szCs w:val="18"/>
        </w:rPr>
        <w:t xml:space="preserve">Lavinia Stan, “The Roof over Our Head: Property Restitution in Romania,” </w:t>
      </w:r>
      <w:r w:rsidRPr="00DB045C">
        <w:rPr>
          <w:rFonts w:ascii="Times New Roman" w:hAnsi="Times New Roman" w:cs="Times New Roman"/>
          <w:i/>
          <w:color w:val="000000"/>
          <w:sz w:val="18"/>
          <w:szCs w:val="18"/>
        </w:rPr>
        <w:t>Journal of Communist Studies and Transition Politics</w:t>
      </w:r>
      <w:r>
        <w:rPr>
          <w:rFonts w:ascii="Times New Roman" w:hAnsi="Times New Roman" w:cs="Times New Roman"/>
          <w:bCs/>
          <w:color w:val="333333"/>
          <w:sz w:val="18"/>
          <w:szCs w:val="18"/>
        </w:rPr>
        <w:t xml:space="preserve">, </w:t>
      </w:r>
      <w:r>
        <w:rPr>
          <w:rFonts w:ascii="Times New Roman" w:hAnsi="Times New Roman" w:cs="Times New Roman"/>
          <w:bCs/>
          <w:sz w:val="18"/>
          <w:szCs w:val="18"/>
        </w:rPr>
        <w:t>22:</w:t>
      </w:r>
      <w:r w:rsidRPr="00DB045C">
        <w:rPr>
          <w:rFonts w:ascii="Times New Roman" w:hAnsi="Times New Roman" w:cs="Times New Roman"/>
          <w:bCs/>
          <w:sz w:val="18"/>
          <w:szCs w:val="18"/>
        </w:rPr>
        <w:t>2 (2006)</w:t>
      </w:r>
      <w:r>
        <w:rPr>
          <w:rFonts w:ascii="Times New Roman" w:hAnsi="Times New Roman" w:cs="Times New Roman"/>
          <w:bCs/>
          <w:sz w:val="18"/>
          <w:szCs w:val="18"/>
        </w:rPr>
        <w:t>: 180-205</w:t>
      </w:r>
      <w:r w:rsidRPr="00DB045C">
        <w:rPr>
          <w:rFonts w:ascii="Times New Roman" w:hAnsi="Times New Roman" w:cs="Times New Roman"/>
          <w:bCs/>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D5" w:rsidRDefault="007C2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D5" w:rsidRDefault="007C2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D5" w:rsidRDefault="007C22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52CA"/>
    <w:rsid w:val="0000512A"/>
    <w:rsid w:val="00013533"/>
    <w:rsid w:val="000E74AE"/>
    <w:rsid w:val="002044DC"/>
    <w:rsid w:val="0050214B"/>
    <w:rsid w:val="00514385"/>
    <w:rsid w:val="006722EE"/>
    <w:rsid w:val="007C22D5"/>
    <w:rsid w:val="00A970AD"/>
    <w:rsid w:val="00C07A16"/>
    <w:rsid w:val="00CF52CA"/>
    <w:rsid w:val="00F1284A"/>
    <w:rsid w:val="00FB4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F52CA"/>
    <w:rPr>
      <w:vertAlign w:val="superscript"/>
    </w:rPr>
  </w:style>
  <w:style w:type="paragraph" w:styleId="EndnoteText">
    <w:name w:val="endnote text"/>
    <w:basedOn w:val="Normal"/>
    <w:link w:val="EndnoteTextChar"/>
    <w:semiHidden/>
    <w:rsid w:val="00CF52C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F52CA"/>
    <w:rPr>
      <w:rFonts w:ascii="Times New Roman" w:eastAsia="Times New Roman" w:hAnsi="Times New Roman" w:cs="Times New Roman"/>
      <w:sz w:val="20"/>
      <w:szCs w:val="20"/>
    </w:rPr>
  </w:style>
  <w:style w:type="character" w:styleId="Hyperlink">
    <w:name w:val="Hyperlink"/>
    <w:basedOn w:val="DefaultParagraphFont"/>
    <w:rsid w:val="00CF52CA"/>
    <w:rPr>
      <w:color w:val="0000FF"/>
      <w:u w:val="single"/>
    </w:rPr>
  </w:style>
  <w:style w:type="paragraph" w:styleId="ListParagraph">
    <w:name w:val="List Paragraph"/>
    <w:basedOn w:val="Normal"/>
    <w:qFormat/>
    <w:rsid w:val="00CF52CA"/>
    <w:pPr>
      <w:spacing w:after="0" w:line="240" w:lineRule="auto"/>
      <w:ind w:left="720"/>
    </w:pPr>
    <w:rPr>
      <w:rFonts w:ascii="Times New Roman" w:eastAsia="MS Mincho" w:hAnsi="Times New Roman" w:cs="Times New Roman"/>
      <w:sz w:val="24"/>
      <w:szCs w:val="24"/>
      <w:lang w:eastAsia="ja-JP"/>
    </w:rPr>
  </w:style>
  <w:style w:type="paragraph" w:customStyle="1" w:styleId="Default">
    <w:name w:val="Default"/>
    <w:rsid w:val="00CF52CA"/>
    <w:pPr>
      <w:autoSpaceDE w:val="0"/>
      <w:autoSpaceDN w:val="0"/>
      <w:adjustRightInd w:val="0"/>
    </w:pPr>
    <w:rPr>
      <w:rFonts w:ascii="Neue Demos" w:eastAsia="Calibri" w:hAnsi="Neue Demos" w:cs="Neue Demos"/>
      <w:color w:val="000000"/>
    </w:rPr>
  </w:style>
  <w:style w:type="character" w:customStyle="1" w:styleId="google-src-text1">
    <w:name w:val="google-src-text1"/>
    <w:basedOn w:val="DefaultParagraphFont"/>
    <w:rsid w:val="00CF52CA"/>
    <w:rPr>
      <w:vanish/>
      <w:webHidden w:val="0"/>
    </w:rPr>
  </w:style>
  <w:style w:type="paragraph" w:styleId="BodyText">
    <w:name w:val="Body Text"/>
    <w:basedOn w:val="Normal"/>
    <w:link w:val="BodyTextChar"/>
    <w:rsid w:val="00CF52CA"/>
    <w:pPr>
      <w:widowControl w:val="0"/>
      <w:suppressAutoHyphens/>
      <w:spacing w:after="120" w:line="240" w:lineRule="auto"/>
    </w:pPr>
    <w:rPr>
      <w:rFonts w:ascii="Times New Roman" w:eastAsia="Arial Unicode MS" w:hAnsi="Times New Roman" w:cs="Times New Roman"/>
      <w:kern w:val="1"/>
      <w:sz w:val="24"/>
      <w:szCs w:val="24"/>
      <w:lang w:val="en-CA" w:eastAsia="ja-JP"/>
    </w:rPr>
  </w:style>
  <w:style w:type="character" w:customStyle="1" w:styleId="BodyTextChar">
    <w:name w:val="Body Text Char"/>
    <w:basedOn w:val="DefaultParagraphFont"/>
    <w:link w:val="BodyText"/>
    <w:rsid w:val="00CF52CA"/>
    <w:rPr>
      <w:rFonts w:ascii="Times New Roman" w:eastAsia="Arial Unicode MS" w:hAnsi="Times New Roman" w:cs="Times New Roman"/>
      <w:kern w:val="1"/>
      <w:lang w:val="en-CA" w:eastAsia="ja-JP"/>
    </w:rPr>
  </w:style>
  <w:style w:type="paragraph" w:styleId="FootnoteText">
    <w:name w:val="footnote text"/>
    <w:basedOn w:val="Normal"/>
    <w:link w:val="FootnoteTextChar"/>
    <w:uiPriority w:val="99"/>
    <w:rsid w:val="00CF52CA"/>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rsid w:val="00CF52CA"/>
    <w:rPr>
      <w:rFonts w:ascii="Times New Roman" w:eastAsia="MS Mincho" w:hAnsi="Times New Roman" w:cs="Times New Roman"/>
      <w:sz w:val="20"/>
      <w:szCs w:val="20"/>
      <w:lang w:eastAsia="ja-JP"/>
    </w:rPr>
  </w:style>
  <w:style w:type="character" w:styleId="Emphasis">
    <w:name w:val="Emphasis"/>
    <w:basedOn w:val="DefaultParagraphFont"/>
    <w:uiPriority w:val="20"/>
    <w:qFormat/>
    <w:rsid w:val="00CF52CA"/>
    <w:rPr>
      <w:i/>
      <w:iCs/>
    </w:rPr>
  </w:style>
  <w:style w:type="paragraph" w:styleId="Header">
    <w:name w:val="header"/>
    <w:basedOn w:val="Normal"/>
    <w:link w:val="HeaderChar"/>
    <w:uiPriority w:val="99"/>
    <w:unhideWhenUsed/>
    <w:rsid w:val="00CF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CA"/>
    <w:rPr>
      <w:sz w:val="22"/>
      <w:szCs w:val="22"/>
    </w:rPr>
  </w:style>
  <w:style w:type="paragraph" w:styleId="Footer">
    <w:name w:val="footer"/>
    <w:basedOn w:val="Normal"/>
    <w:link w:val="FooterChar"/>
    <w:uiPriority w:val="99"/>
    <w:unhideWhenUsed/>
    <w:rsid w:val="00CF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CA"/>
    <w:rPr>
      <w:sz w:val="22"/>
      <w:szCs w:val="22"/>
    </w:rPr>
  </w:style>
  <w:style w:type="table" w:styleId="TableGrid">
    <w:name w:val="Table Grid"/>
    <w:basedOn w:val="TableNormal"/>
    <w:uiPriority w:val="59"/>
    <w:rsid w:val="00CF52C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CA"/>
    <w:rPr>
      <w:rFonts w:ascii="Tahoma" w:hAnsi="Tahoma" w:cs="Tahoma"/>
      <w:sz w:val="16"/>
      <w:szCs w:val="16"/>
    </w:rPr>
  </w:style>
  <w:style w:type="character" w:customStyle="1" w:styleId="apple-converted-space">
    <w:name w:val="apple-converted-space"/>
    <w:basedOn w:val="DefaultParagraphFont"/>
    <w:rsid w:val="00CF52CA"/>
  </w:style>
  <w:style w:type="character" w:styleId="EndnoteReference">
    <w:name w:val="endnote reference"/>
    <w:basedOn w:val="DefaultParagraphFont"/>
    <w:semiHidden/>
    <w:rsid w:val="00CF52CA"/>
    <w:rPr>
      <w:vertAlign w:val="superscript"/>
    </w:rPr>
  </w:style>
  <w:style w:type="character" w:customStyle="1" w:styleId="ju-005fpara--char">
    <w:name w:val="ju-005fpara--char"/>
    <w:basedOn w:val="DefaultParagraphFont"/>
    <w:rsid w:val="00CF52C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package" Target="embeddings/Microsoft_Excel_Worksheet1.xlsx"/><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chart" Target="charts/chart6.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nk.springer.com/search?facet-creator=%22Zala+Vol%C4%8Di%C4%8D%22" TargetMode="External"/><Relationship Id="rId1" Type="http://schemas.openxmlformats.org/officeDocument/2006/relationships/hyperlink" Target="http://link.springer.com/search?facet-creator=%22Olivera+Simi%C4%87%2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ynthiaHorne\Documents\book%20project%20trust%20and%20tj\eurobarometer%20trust%20across%20pub%20ins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ynthiaHorne\Documents\book%20project%20trust%20and%20tj\eurobarometer%20trust%20across%20pub%20ins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ynthiaHorne\Documents\book%20project%20trust%20and%20tj\eurobarometer%20trust%20across%20pub%20ins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CynthiaHorne\Documents\book%20project%20trust%20and%20tj\eurobarometer%20trust%20across%20pub%20ins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CynthiaHorne\Documents\Romania%20chapter\Albania_Romania_Bulgaria%20(Autosa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ynthiaHorne\Documents\Romania%20chapter\Albania_Romania_Bulgaria%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Trust in the Judiciary</a:t>
            </a:r>
          </a:p>
        </c:rich>
      </c:tx>
    </c:title>
    <c:plotArea>
      <c:layout/>
      <c:lineChart>
        <c:grouping val="standard"/>
        <c:ser>
          <c:idx val="0"/>
          <c:order val="0"/>
          <c:tx>
            <c:v>Bulgaria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data'!$D$18:$D$32</c:f>
              <c:numCache>
                <c:formatCode>General</c:formatCode>
                <c:ptCount val="15"/>
                <c:pt idx="0">
                  <c:v>23</c:v>
                </c:pt>
                <c:pt idx="1">
                  <c:v>21</c:v>
                </c:pt>
                <c:pt idx="2">
                  <c:v>23</c:v>
                </c:pt>
                <c:pt idx="3">
                  <c:v>18</c:v>
                </c:pt>
                <c:pt idx="4">
                  <c:v>20</c:v>
                </c:pt>
                <c:pt idx="5">
                  <c:v>15</c:v>
                </c:pt>
                <c:pt idx="6">
                  <c:v>12</c:v>
                </c:pt>
                <c:pt idx="7">
                  <c:v>13</c:v>
                </c:pt>
                <c:pt idx="8">
                  <c:v>17</c:v>
                </c:pt>
                <c:pt idx="9">
                  <c:v>16</c:v>
                </c:pt>
                <c:pt idx="13">
                  <c:v>16</c:v>
                </c:pt>
                <c:pt idx="14">
                  <c:v>20</c:v>
                </c:pt>
              </c:numCache>
            </c:numRef>
          </c:val>
        </c:ser>
        <c:ser>
          <c:idx val="1"/>
          <c:order val="1"/>
          <c:tx>
            <c:v>Czech Rep</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data'!$D$34:$D$48</c:f>
              <c:numCache>
                <c:formatCode>General</c:formatCode>
                <c:ptCount val="15"/>
                <c:pt idx="0">
                  <c:v>35</c:v>
                </c:pt>
                <c:pt idx="1">
                  <c:v>33</c:v>
                </c:pt>
                <c:pt idx="2">
                  <c:v>30</c:v>
                </c:pt>
                <c:pt idx="3">
                  <c:v>29</c:v>
                </c:pt>
                <c:pt idx="4">
                  <c:v>32</c:v>
                </c:pt>
                <c:pt idx="5">
                  <c:v>37</c:v>
                </c:pt>
                <c:pt idx="6">
                  <c:v>31</c:v>
                </c:pt>
                <c:pt idx="7">
                  <c:v>32</c:v>
                </c:pt>
                <c:pt idx="8">
                  <c:v>29</c:v>
                </c:pt>
                <c:pt idx="9">
                  <c:v>34</c:v>
                </c:pt>
                <c:pt idx="13">
                  <c:v>36</c:v>
                </c:pt>
                <c:pt idx="14">
                  <c:v>39</c:v>
                </c:pt>
              </c:numCache>
            </c:numRef>
          </c:val>
        </c:ser>
        <c:ser>
          <c:idx val="2"/>
          <c:order val="2"/>
          <c:tx>
            <c:v>Romania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data'!$D$130:$D$144</c:f>
              <c:numCache>
                <c:formatCode>General</c:formatCode>
                <c:ptCount val="15"/>
                <c:pt idx="0">
                  <c:v>29</c:v>
                </c:pt>
                <c:pt idx="1">
                  <c:v>30</c:v>
                </c:pt>
                <c:pt idx="2">
                  <c:v>35</c:v>
                </c:pt>
                <c:pt idx="3">
                  <c:v>35</c:v>
                </c:pt>
                <c:pt idx="4">
                  <c:v>31</c:v>
                </c:pt>
                <c:pt idx="5">
                  <c:v>26</c:v>
                </c:pt>
                <c:pt idx="6">
                  <c:v>26</c:v>
                </c:pt>
                <c:pt idx="7">
                  <c:v>28</c:v>
                </c:pt>
                <c:pt idx="8">
                  <c:v>28</c:v>
                </c:pt>
                <c:pt idx="9">
                  <c:v>23</c:v>
                </c:pt>
                <c:pt idx="13">
                  <c:v>46</c:v>
                </c:pt>
                <c:pt idx="14">
                  <c:v>48</c:v>
                </c:pt>
              </c:numCache>
            </c:numRef>
          </c:val>
        </c:ser>
        <c:ser>
          <c:idx val="3"/>
          <c:order val="3"/>
          <c:tx>
            <c:v>Poland</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data'!$D$114:$D$128</c:f>
              <c:numCache>
                <c:formatCode>General</c:formatCode>
                <c:ptCount val="15"/>
                <c:pt idx="0">
                  <c:v>29</c:v>
                </c:pt>
                <c:pt idx="1">
                  <c:v>34</c:v>
                </c:pt>
                <c:pt idx="2">
                  <c:v>24</c:v>
                </c:pt>
                <c:pt idx="3">
                  <c:v>23</c:v>
                </c:pt>
                <c:pt idx="4">
                  <c:v>22</c:v>
                </c:pt>
                <c:pt idx="5">
                  <c:v>30</c:v>
                </c:pt>
                <c:pt idx="6">
                  <c:v>38</c:v>
                </c:pt>
                <c:pt idx="7">
                  <c:v>32</c:v>
                </c:pt>
                <c:pt idx="8">
                  <c:v>31</c:v>
                </c:pt>
                <c:pt idx="9">
                  <c:v>38</c:v>
                </c:pt>
                <c:pt idx="13">
                  <c:v>41</c:v>
                </c:pt>
                <c:pt idx="14">
                  <c:v>41</c:v>
                </c:pt>
              </c:numCache>
            </c:numRef>
          </c:val>
        </c:ser>
        <c:ser>
          <c:idx val="4"/>
          <c:order val="4"/>
          <c:tx>
            <c:v>Hungary</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data'!$D$66:$D$80</c:f>
              <c:numCache>
                <c:formatCode>General</c:formatCode>
                <c:ptCount val="15"/>
                <c:pt idx="0">
                  <c:v>46</c:v>
                </c:pt>
                <c:pt idx="1">
                  <c:v>47</c:v>
                </c:pt>
                <c:pt idx="2">
                  <c:v>48</c:v>
                </c:pt>
                <c:pt idx="3">
                  <c:v>50</c:v>
                </c:pt>
                <c:pt idx="4">
                  <c:v>44</c:v>
                </c:pt>
                <c:pt idx="5">
                  <c:v>46</c:v>
                </c:pt>
                <c:pt idx="6">
                  <c:v>46</c:v>
                </c:pt>
                <c:pt idx="7">
                  <c:v>38</c:v>
                </c:pt>
                <c:pt idx="8">
                  <c:v>41</c:v>
                </c:pt>
                <c:pt idx="9">
                  <c:v>53</c:v>
                </c:pt>
                <c:pt idx="13">
                  <c:v>42</c:v>
                </c:pt>
                <c:pt idx="14">
                  <c:v>45</c:v>
                </c:pt>
              </c:numCache>
            </c:numRef>
          </c:val>
        </c:ser>
        <c:ser>
          <c:idx val="5"/>
          <c:order val="5"/>
          <c:tx>
            <c:v>Slovakia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data'!$D$146:$D$160</c:f>
              <c:numCache>
                <c:formatCode>General</c:formatCode>
                <c:ptCount val="15"/>
                <c:pt idx="0">
                  <c:v>15</c:v>
                </c:pt>
                <c:pt idx="1">
                  <c:v>17</c:v>
                </c:pt>
                <c:pt idx="2">
                  <c:v>19</c:v>
                </c:pt>
                <c:pt idx="3">
                  <c:v>27</c:v>
                </c:pt>
                <c:pt idx="4">
                  <c:v>31</c:v>
                </c:pt>
                <c:pt idx="5">
                  <c:v>31</c:v>
                </c:pt>
                <c:pt idx="6">
                  <c:v>27</c:v>
                </c:pt>
                <c:pt idx="7">
                  <c:v>31</c:v>
                </c:pt>
                <c:pt idx="8">
                  <c:v>29</c:v>
                </c:pt>
                <c:pt idx="9">
                  <c:v>32</c:v>
                </c:pt>
                <c:pt idx="13">
                  <c:v>25</c:v>
                </c:pt>
                <c:pt idx="14">
                  <c:v>26</c:v>
                </c:pt>
              </c:numCache>
            </c:numRef>
          </c:val>
        </c:ser>
        <c:marker val="1"/>
        <c:axId val="349500544"/>
        <c:axId val="349502464"/>
      </c:lineChart>
      <c:catAx>
        <c:axId val="349500544"/>
        <c:scaling>
          <c:orientation val="minMax"/>
        </c:scaling>
        <c:axPos val="b"/>
        <c:title>
          <c:tx>
            <c:rich>
              <a:bodyPr/>
              <a:lstStyle/>
              <a:p>
                <a:pPr>
                  <a:defRPr/>
                </a:pPr>
                <a:r>
                  <a:rPr lang="en-US"/>
                  <a:t>Year</a:t>
                </a:r>
              </a:p>
            </c:rich>
          </c:tx>
        </c:title>
        <c:numFmt formatCode="General" sourceLinked="1"/>
        <c:tickLblPos val="nextTo"/>
        <c:crossAx val="349502464"/>
        <c:crosses val="autoZero"/>
        <c:auto val="1"/>
        <c:lblAlgn val="ctr"/>
        <c:lblOffset val="100"/>
      </c:catAx>
      <c:valAx>
        <c:axId val="349502464"/>
        <c:scaling>
          <c:orientation val="minMax"/>
        </c:scaling>
        <c:axPos val="l"/>
        <c:majorGridlines/>
        <c:title>
          <c:tx>
            <c:rich>
              <a:bodyPr rot="-5400000" vert="horz"/>
              <a:lstStyle/>
              <a:p>
                <a:pPr>
                  <a:defRPr/>
                </a:pPr>
                <a:r>
                  <a:rPr lang="en-US"/>
                  <a:t>% say can trust judiciary</a:t>
                </a:r>
              </a:p>
            </c:rich>
          </c:tx>
        </c:title>
        <c:numFmt formatCode="General" sourceLinked="1"/>
        <c:tickLblPos val="nextTo"/>
        <c:crossAx val="349500544"/>
        <c:crosses val="autoZero"/>
        <c:crossBetween val="between"/>
      </c:valAx>
    </c:plotArea>
    <c:legend>
      <c:legendPos val="r"/>
    </c:legend>
    <c:plotVisOnly val="1"/>
    <c:dispBlanksAs val="span"/>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Trust in the Press</a:t>
            </a:r>
          </a:p>
        </c:rich>
      </c:tx>
    </c:title>
    <c:plotArea>
      <c:layout/>
      <c:lineChart>
        <c:grouping val="standard"/>
        <c:ser>
          <c:idx val="0"/>
          <c:order val="0"/>
          <c:tx>
            <c:v>Bulgaria</c:v>
          </c:tx>
          <c:cat>
            <c:numRef>
              <c:f>'trust data'!$A$146:$A$158</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'trust data'!$H$18:$H$30</c:f>
              <c:numCache>
                <c:formatCode>General</c:formatCode>
                <c:ptCount val="13"/>
                <c:pt idx="0">
                  <c:v>40</c:v>
                </c:pt>
                <c:pt idx="1">
                  <c:v>32</c:v>
                </c:pt>
                <c:pt idx="2">
                  <c:v>39</c:v>
                </c:pt>
                <c:pt idx="3">
                  <c:v>40</c:v>
                </c:pt>
                <c:pt idx="4">
                  <c:v>37</c:v>
                </c:pt>
                <c:pt idx="5">
                  <c:v>59</c:v>
                </c:pt>
                <c:pt idx="6">
                  <c:v>41</c:v>
                </c:pt>
                <c:pt idx="7">
                  <c:v>44</c:v>
                </c:pt>
                <c:pt idx="8">
                  <c:v>44</c:v>
                </c:pt>
                <c:pt idx="9">
                  <c:v>42</c:v>
                </c:pt>
                <c:pt idx="10">
                  <c:v>42</c:v>
                </c:pt>
                <c:pt idx="11">
                  <c:v>42</c:v>
                </c:pt>
                <c:pt idx="12">
                  <c:v>35</c:v>
                </c:pt>
              </c:numCache>
            </c:numRef>
          </c:val>
        </c:ser>
        <c:ser>
          <c:idx val="1"/>
          <c:order val="1"/>
          <c:tx>
            <c:v>Czech Rep</c:v>
          </c:tx>
          <c:cat>
            <c:numRef>
              <c:f>'trust data'!$A$146:$A$158</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'trust data'!$H$34:$H$46</c:f>
              <c:numCache>
                <c:formatCode>General</c:formatCode>
                <c:ptCount val="13"/>
                <c:pt idx="0">
                  <c:v>61</c:v>
                </c:pt>
                <c:pt idx="1">
                  <c:v>57</c:v>
                </c:pt>
                <c:pt idx="2">
                  <c:v>61</c:v>
                </c:pt>
                <c:pt idx="3">
                  <c:v>53</c:v>
                </c:pt>
                <c:pt idx="4">
                  <c:v>56</c:v>
                </c:pt>
                <c:pt idx="5">
                  <c:v>56</c:v>
                </c:pt>
                <c:pt idx="6">
                  <c:v>54</c:v>
                </c:pt>
                <c:pt idx="7">
                  <c:v>56</c:v>
                </c:pt>
                <c:pt idx="8">
                  <c:v>58</c:v>
                </c:pt>
                <c:pt idx="9">
                  <c:v>58</c:v>
                </c:pt>
                <c:pt idx="10">
                  <c:v>57</c:v>
                </c:pt>
                <c:pt idx="11">
                  <c:v>53</c:v>
                </c:pt>
                <c:pt idx="12">
                  <c:v>48</c:v>
                </c:pt>
              </c:numCache>
            </c:numRef>
          </c:val>
        </c:ser>
        <c:ser>
          <c:idx val="2"/>
          <c:order val="2"/>
          <c:tx>
            <c:v>Romania</c:v>
          </c:tx>
          <c:cat>
            <c:numRef>
              <c:f>'trust data'!$A$146:$A$158</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'trust data'!$H$130:$H$142</c:f>
              <c:numCache>
                <c:formatCode>General</c:formatCode>
                <c:ptCount val="13"/>
                <c:pt idx="0">
                  <c:v>44</c:v>
                </c:pt>
                <c:pt idx="1">
                  <c:v>47</c:v>
                </c:pt>
                <c:pt idx="2">
                  <c:v>56</c:v>
                </c:pt>
                <c:pt idx="3">
                  <c:v>56</c:v>
                </c:pt>
                <c:pt idx="4">
                  <c:v>56</c:v>
                </c:pt>
                <c:pt idx="5">
                  <c:v>68</c:v>
                </c:pt>
                <c:pt idx="6">
                  <c:v>53</c:v>
                </c:pt>
                <c:pt idx="7">
                  <c:v>63</c:v>
                </c:pt>
                <c:pt idx="8">
                  <c:v>47</c:v>
                </c:pt>
                <c:pt idx="9">
                  <c:v>42</c:v>
                </c:pt>
                <c:pt idx="10">
                  <c:v>46</c:v>
                </c:pt>
                <c:pt idx="11">
                  <c:v>41</c:v>
                </c:pt>
                <c:pt idx="12">
                  <c:v>39</c:v>
                </c:pt>
              </c:numCache>
            </c:numRef>
          </c:val>
        </c:ser>
        <c:ser>
          <c:idx val="3"/>
          <c:order val="3"/>
          <c:tx>
            <c:v>Poland</c:v>
          </c:tx>
          <c:cat>
            <c:numRef>
              <c:f>'trust data'!$A$146:$A$158</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'trust data'!$H$114:$H$126</c:f>
              <c:numCache>
                <c:formatCode>General</c:formatCode>
                <c:ptCount val="13"/>
                <c:pt idx="0">
                  <c:v>51</c:v>
                </c:pt>
                <c:pt idx="1">
                  <c:v>51</c:v>
                </c:pt>
                <c:pt idx="2">
                  <c:v>54</c:v>
                </c:pt>
                <c:pt idx="3">
                  <c:v>43</c:v>
                </c:pt>
                <c:pt idx="4">
                  <c:v>45</c:v>
                </c:pt>
                <c:pt idx="5">
                  <c:v>42</c:v>
                </c:pt>
                <c:pt idx="6">
                  <c:v>45</c:v>
                </c:pt>
                <c:pt idx="7">
                  <c:v>42</c:v>
                </c:pt>
                <c:pt idx="8">
                  <c:v>42</c:v>
                </c:pt>
                <c:pt idx="9">
                  <c:v>40</c:v>
                </c:pt>
                <c:pt idx="10">
                  <c:v>44</c:v>
                </c:pt>
                <c:pt idx="11">
                  <c:v>45</c:v>
                </c:pt>
                <c:pt idx="12">
                  <c:v>48</c:v>
                </c:pt>
              </c:numCache>
            </c:numRef>
          </c:val>
        </c:ser>
        <c:ser>
          <c:idx val="4"/>
          <c:order val="4"/>
          <c:tx>
            <c:v>Hungary</c:v>
          </c:tx>
          <c:cat>
            <c:numRef>
              <c:f>'trust data'!$A$146:$A$158</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'trust data'!$H$66:$H$78</c:f>
              <c:numCache>
                <c:formatCode>General</c:formatCode>
                <c:ptCount val="13"/>
                <c:pt idx="0">
                  <c:v>43</c:v>
                </c:pt>
                <c:pt idx="1">
                  <c:v>37</c:v>
                </c:pt>
                <c:pt idx="2">
                  <c:v>33</c:v>
                </c:pt>
                <c:pt idx="3">
                  <c:v>34</c:v>
                </c:pt>
                <c:pt idx="4">
                  <c:v>25</c:v>
                </c:pt>
                <c:pt idx="5">
                  <c:v>30</c:v>
                </c:pt>
                <c:pt idx="6">
                  <c:v>28</c:v>
                </c:pt>
                <c:pt idx="7">
                  <c:v>27</c:v>
                </c:pt>
                <c:pt idx="8">
                  <c:v>26</c:v>
                </c:pt>
                <c:pt idx="9">
                  <c:v>39</c:v>
                </c:pt>
                <c:pt idx="10">
                  <c:v>37</c:v>
                </c:pt>
                <c:pt idx="11">
                  <c:v>36</c:v>
                </c:pt>
                <c:pt idx="12">
                  <c:v>38</c:v>
                </c:pt>
              </c:numCache>
            </c:numRef>
          </c:val>
        </c:ser>
        <c:ser>
          <c:idx val="5"/>
          <c:order val="5"/>
          <c:tx>
            <c:v>Slovakia</c:v>
          </c:tx>
          <c:cat>
            <c:numRef>
              <c:f>'trust data'!$A$146:$A$158</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'trust data'!$H$146:$H$158</c:f>
              <c:numCache>
                <c:formatCode>General</c:formatCode>
                <c:ptCount val="13"/>
                <c:pt idx="0">
                  <c:v>56</c:v>
                </c:pt>
                <c:pt idx="1">
                  <c:v>54</c:v>
                </c:pt>
                <c:pt idx="2">
                  <c:v>59</c:v>
                </c:pt>
                <c:pt idx="3">
                  <c:v>50</c:v>
                </c:pt>
                <c:pt idx="4">
                  <c:v>51</c:v>
                </c:pt>
                <c:pt idx="5">
                  <c:v>53</c:v>
                </c:pt>
                <c:pt idx="6">
                  <c:v>52</c:v>
                </c:pt>
                <c:pt idx="7">
                  <c:v>56</c:v>
                </c:pt>
                <c:pt idx="8">
                  <c:v>55</c:v>
                </c:pt>
                <c:pt idx="9">
                  <c:v>59</c:v>
                </c:pt>
                <c:pt idx="10">
                  <c:v>62</c:v>
                </c:pt>
                <c:pt idx="11">
                  <c:v>57</c:v>
                </c:pt>
                <c:pt idx="12">
                  <c:v>54</c:v>
                </c:pt>
              </c:numCache>
            </c:numRef>
          </c:val>
        </c:ser>
        <c:marker val="1"/>
        <c:axId val="373640192"/>
        <c:axId val="373679232"/>
      </c:lineChart>
      <c:catAx>
        <c:axId val="373640192"/>
        <c:scaling>
          <c:orientation val="minMax"/>
        </c:scaling>
        <c:axPos val="b"/>
        <c:title>
          <c:tx>
            <c:rich>
              <a:bodyPr/>
              <a:lstStyle/>
              <a:p>
                <a:pPr>
                  <a:defRPr/>
                </a:pPr>
                <a:r>
                  <a:rPr lang="en-US"/>
                  <a:t>Year</a:t>
                </a:r>
              </a:p>
            </c:rich>
          </c:tx>
        </c:title>
        <c:numFmt formatCode="General" sourceLinked="1"/>
        <c:tickLblPos val="nextTo"/>
        <c:crossAx val="373679232"/>
        <c:crosses val="autoZero"/>
        <c:auto val="1"/>
        <c:lblAlgn val="ctr"/>
        <c:lblOffset val="100"/>
      </c:catAx>
      <c:valAx>
        <c:axId val="373679232"/>
        <c:scaling>
          <c:orientation val="minMax"/>
          <c:max val="75"/>
          <c:min val="20"/>
        </c:scaling>
        <c:axPos val="l"/>
        <c:majorGridlines/>
        <c:title>
          <c:tx>
            <c:rich>
              <a:bodyPr rot="-5400000" vert="horz"/>
              <a:lstStyle/>
              <a:p>
                <a:pPr>
                  <a:defRPr/>
                </a:pPr>
                <a:r>
                  <a:rPr lang="en-US"/>
                  <a:t>% say can trust press</a:t>
                </a:r>
              </a:p>
              <a:p>
                <a:pPr>
                  <a:defRPr/>
                </a:pPr>
                <a:endParaRPr lang="en-US"/>
              </a:p>
            </c:rich>
          </c:tx>
        </c:title>
        <c:numFmt formatCode="General" sourceLinked="1"/>
        <c:tickLblPos val="nextTo"/>
        <c:crossAx val="373640192"/>
        <c:crosses val="autoZero"/>
        <c:crossBetween val="between"/>
      </c:valAx>
    </c:plotArea>
    <c:legend>
      <c:legendPos val="r"/>
    </c:legend>
    <c:plotVisOnly val="1"/>
    <c:dispBlanksAs val="span"/>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Trust in the Parliament</a:t>
            </a:r>
          </a:p>
        </c:rich>
      </c:tx>
    </c:title>
    <c:plotArea>
      <c:layout/>
      <c:lineChart>
        <c:grouping val="standard"/>
        <c:ser>
          <c:idx val="0"/>
          <c:order val="0"/>
          <c:tx>
            <c:v>Bulgaria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data'!$K$18:$K$32</c:f>
              <c:numCache>
                <c:formatCode>General</c:formatCode>
                <c:ptCount val="15"/>
                <c:pt idx="0">
                  <c:v>29</c:v>
                </c:pt>
                <c:pt idx="1">
                  <c:v>17</c:v>
                </c:pt>
                <c:pt idx="2">
                  <c:v>16</c:v>
                </c:pt>
                <c:pt idx="3">
                  <c:v>13</c:v>
                </c:pt>
                <c:pt idx="4">
                  <c:v>20</c:v>
                </c:pt>
                <c:pt idx="5">
                  <c:v>14</c:v>
                </c:pt>
                <c:pt idx="6">
                  <c:v>11</c:v>
                </c:pt>
                <c:pt idx="7">
                  <c:v>12</c:v>
                </c:pt>
                <c:pt idx="8">
                  <c:v>27</c:v>
                </c:pt>
                <c:pt idx="9">
                  <c:v>20</c:v>
                </c:pt>
                <c:pt idx="10">
                  <c:v>25</c:v>
                </c:pt>
                <c:pt idx="11">
                  <c:v>17</c:v>
                </c:pt>
                <c:pt idx="12">
                  <c:v>14</c:v>
                </c:pt>
                <c:pt idx="13">
                  <c:v>14</c:v>
                </c:pt>
                <c:pt idx="14">
                  <c:v>14</c:v>
                </c:pt>
              </c:numCache>
            </c:numRef>
          </c:val>
        </c:ser>
        <c:ser>
          <c:idx val="1"/>
          <c:order val="1"/>
          <c:tx>
            <c:v>Czech Rep</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data'!$K$34:$K$48</c:f>
              <c:numCache>
                <c:formatCode>General</c:formatCode>
                <c:ptCount val="15"/>
                <c:pt idx="0">
                  <c:v>26</c:v>
                </c:pt>
                <c:pt idx="1">
                  <c:v>25</c:v>
                </c:pt>
                <c:pt idx="2">
                  <c:v>20</c:v>
                </c:pt>
                <c:pt idx="3">
                  <c:v>18</c:v>
                </c:pt>
                <c:pt idx="4">
                  <c:v>16</c:v>
                </c:pt>
                <c:pt idx="5">
                  <c:v>19</c:v>
                </c:pt>
                <c:pt idx="6">
                  <c:v>16</c:v>
                </c:pt>
                <c:pt idx="7">
                  <c:v>16</c:v>
                </c:pt>
                <c:pt idx="8">
                  <c:v>15</c:v>
                </c:pt>
                <c:pt idx="9">
                  <c:v>17</c:v>
                </c:pt>
                <c:pt idx="10">
                  <c:v>11</c:v>
                </c:pt>
                <c:pt idx="11">
                  <c:v>9</c:v>
                </c:pt>
                <c:pt idx="12">
                  <c:v>12</c:v>
                </c:pt>
                <c:pt idx="13">
                  <c:v>17</c:v>
                </c:pt>
                <c:pt idx="14">
                  <c:v>13</c:v>
                </c:pt>
              </c:numCache>
            </c:numRef>
          </c:val>
        </c:ser>
        <c:ser>
          <c:idx val="2"/>
          <c:order val="2"/>
          <c:tx>
            <c:v>Romania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data'!$K$130:$K$144</c:f>
              <c:numCache>
                <c:formatCode>General</c:formatCode>
                <c:ptCount val="15"/>
                <c:pt idx="0">
                  <c:v>32</c:v>
                </c:pt>
                <c:pt idx="1">
                  <c:v>33</c:v>
                </c:pt>
                <c:pt idx="2">
                  <c:v>33</c:v>
                </c:pt>
                <c:pt idx="3">
                  <c:v>30</c:v>
                </c:pt>
                <c:pt idx="4">
                  <c:v>23</c:v>
                </c:pt>
                <c:pt idx="5">
                  <c:v>24</c:v>
                </c:pt>
                <c:pt idx="6">
                  <c:v>18</c:v>
                </c:pt>
                <c:pt idx="7">
                  <c:v>22</c:v>
                </c:pt>
                <c:pt idx="8">
                  <c:v>17</c:v>
                </c:pt>
                <c:pt idx="9">
                  <c:v>9</c:v>
                </c:pt>
                <c:pt idx="10">
                  <c:v>9</c:v>
                </c:pt>
                <c:pt idx="11">
                  <c:v>16</c:v>
                </c:pt>
                <c:pt idx="12">
                  <c:v>11</c:v>
                </c:pt>
                <c:pt idx="13">
                  <c:v>17</c:v>
                </c:pt>
                <c:pt idx="14">
                  <c:v>18</c:v>
                </c:pt>
              </c:numCache>
            </c:numRef>
          </c:val>
        </c:ser>
        <c:ser>
          <c:idx val="3"/>
          <c:order val="3"/>
          <c:tx>
            <c:v>Poland</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data'!$K$114:$K$128</c:f>
              <c:numCache>
                <c:formatCode>General</c:formatCode>
                <c:ptCount val="15"/>
                <c:pt idx="0">
                  <c:v>28</c:v>
                </c:pt>
                <c:pt idx="1">
                  <c:v>26</c:v>
                </c:pt>
                <c:pt idx="2">
                  <c:v>13</c:v>
                </c:pt>
                <c:pt idx="3">
                  <c:v>8</c:v>
                </c:pt>
                <c:pt idx="4">
                  <c:v>12</c:v>
                </c:pt>
                <c:pt idx="5">
                  <c:v>11</c:v>
                </c:pt>
                <c:pt idx="6">
                  <c:v>10</c:v>
                </c:pt>
                <c:pt idx="7">
                  <c:v>16</c:v>
                </c:pt>
                <c:pt idx="8">
                  <c:v>11</c:v>
                </c:pt>
                <c:pt idx="9">
                  <c:v>25</c:v>
                </c:pt>
                <c:pt idx="10">
                  <c:v>25</c:v>
                </c:pt>
                <c:pt idx="11">
                  <c:v>18</c:v>
                </c:pt>
                <c:pt idx="12">
                  <c:v>17</c:v>
                </c:pt>
                <c:pt idx="13">
                  <c:v>21</c:v>
                </c:pt>
                <c:pt idx="14">
                  <c:v>17</c:v>
                </c:pt>
              </c:numCache>
            </c:numRef>
          </c:val>
        </c:ser>
        <c:ser>
          <c:idx val="4"/>
          <c:order val="4"/>
          <c:tx>
            <c:v>Hungary</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data'!$K$66:$K$80</c:f>
              <c:numCache>
                <c:formatCode>General</c:formatCode>
                <c:ptCount val="15"/>
                <c:pt idx="0">
                  <c:v>43</c:v>
                </c:pt>
                <c:pt idx="1">
                  <c:v>52</c:v>
                </c:pt>
                <c:pt idx="2">
                  <c:v>36</c:v>
                </c:pt>
                <c:pt idx="3">
                  <c:v>29</c:v>
                </c:pt>
                <c:pt idx="4">
                  <c:v>26</c:v>
                </c:pt>
                <c:pt idx="5">
                  <c:v>27</c:v>
                </c:pt>
                <c:pt idx="6">
                  <c:v>21</c:v>
                </c:pt>
                <c:pt idx="7">
                  <c:v>15</c:v>
                </c:pt>
                <c:pt idx="8">
                  <c:v>15</c:v>
                </c:pt>
                <c:pt idx="9">
                  <c:v>47</c:v>
                </c:pt>
                <c:pt idx="10">
                  <c:v>28</c:v>
                </c:pt>
                <c:pt idx="11">
                  <c:v>21</c:v>
                </c:pt>
                <c:pt idx="12">
                  <c:v>34</c:v>
                </c:pt>
                <c:pt idx="13">
                  <c:v>29</c:v>
                </c:pt>
                <c:pt idx="14">
                  <c:v>31</c:v>
                </c:pt>
              </c:numCache>
            </c:numRef>
          </c:val>
        </c:ser>
        <c:ser>
          <c:idx val="5"/>
          <c:order val="5"/>
          <c:tx>
            <c:v>Slovakia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data'!$K$146:$K$160</c:f>
              <c:numCache>
                <c:formatCode>General</c:formatCode>
                <c:ptCount val="15"/>
                <c:pt idx="0">
                  <c:v>17</c:v>
                </c:pt>
                <c:pt idx="1">
                  <c:v>21</c:v>
                </c:pt>
                <c:pt idx="2">
                  <c:v>20</c:v>
                </c:pt>
                <c:pt idx="3">
                  <c:v>19</c:v>
                </c:pt>
                <c:pt idx="4">
                  <c:v>20</c:v>
                </c:pt>
                <c:pt idx="5">
                  <c:v>38</c:v>
                </c:pt>
                <c:pt idx="6">
                  <c:v>37</c:v>
                </c:pt>
                <c:pt idx="7">
                  <c:v>34</c:v>
                </c:pt>
                <c:pt idx="8">
                  <c:v>35</c:v>
                </c:pt>
                <c:pt idx="9">
                  <c:v>37</c:v>
                </c:pt>
                <c:pt idx="10">
                  <c:v>25</c:v>
                </c:pt>
                <c:pt idx="11">
                  <c:v>39</c:v>
                </c:pt>
                <c:pt idx="12">
                  <c:v>28</c:v>
                </c:pt>
                <c:pt idx="13">
                  <c:v>26</c:v>
                </c:pt>
                <c:pt idx="14">
                  <c:v>28</c:v>
                </c:pt>
              </c:numCache>
            </c:numRef>
          </c:val>
        </c:ser>
        <c:marker val="1"/>
        <c:axId val="374645888"/>
        <c:axId val="374647808"/>
      </c:lineChart>
      <c:catAx>
        <c:axId val="374645888"/>
        <c:scaling>
          <c:orientation val="minMax"/>
        </c:scaling>
        <c:axPos val="b"/>
        <c:title>
          <c:tx>
            <c:rich>
              <a:bodyPr/>
              <a:lstStyle/>
              <a:p>
                <a:pPr>
                  <a:defRPr/>
                </a:pPr>
                <a:r>
                  <a:rPr lang="en-US"/>
                  <a:t>Year</a:t>
                </a:r>
              </a:p>
            </c:rich>
          </c:tx>
        </c:title>
        <c:numFmt formatCode="General" sourceLinked="1"/>
        <c:tickLblPos val="nextTo"/>
        <c:crossAx val="374647808"/>
        <c:crosses val="autoZero"/>
        <c:auto val="1"/>
        <c:lblAlgn val="ctr"/>
        <c:lblOffset val="100"/>
      </c:catAx>
      <c:valAx>
        <c:axId val="374647808"/>
        <c:scaling>
          <c:orientation val="minMax"/>
          <c:max val="55"/>
          <c:min val="5"/>
        </c:scaling>
        <c:axPos val="l"/>
        <c:majorGridlines/>
        <c:title>
          <c:tx>
            <c:rich>
              <a:bodyPr rot="-5400000" vert="horz"/>
              <a:lstStyle/>
              <a:p>
                <a:pPr>
                  <a:defRPr/>
                </a:pPr>
                <a:r>
                  <a:rPr lang="en-US"/>
                  <a:t>% say can trust parliament</a:t>
                </a:r>
              </a:p>
            </c:rich>
          </c:tx>
        </c:title>
        <c:numFmt formatCode="General" sourceLinked="1"/>
        <c:tickLblPos val="nextTo"/>
        <c:crossAx val="374645888"/>
        <c:crosses val="autoZero"/>
        <c:crossBetween val="between"/>
      </c:valAx>
    </c:plotArea>
    <c:legend>
      <c:legendPos val="r"/>
    </c:legend>
    <c:plotVisOnly val="1"/>
    <c:dispBlanksAs val="span"/>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Trust in the Police</a:t>
            </a:r>
          </a:p>
        </c:rich>
      </c:tx>
    </c:title>
    <c:plotArea>
      <c:layout/>
      <c:lineChart>
        <c:grouping val="standard"/>
        <c:ser>
          <c:idx val="0"/>
          <c:order val="0"/>
          <c:tx>
            <c:v>Bulgaria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data'!$E$18:$E$32</c:f>
              <c:numCache>
                <c:formatCode>General</c:formatCode>
                <c:ptCount val="15"/>
                <c:pt idx="0">
                  <c:v>37</c:v>
                </c:pt>
                <c:pt idx="1">
                  <c:v>50</c:v>
                </c:pt>
                <c:pt idx="2">
                  <c:v>48</c:v>
                </c:pt>
                <c:pt idx="3">
                  <c:v>45</c:v>
                </c:pt>
                <c:pt idx="4">
                  <c:v>41</c:v>
                </c:pt>
                <c:pt idx="5">
                  <c:v>36</c:v>
                </c:pt>
                <c:pt idx="6">
                  <c:v>33</c:v>
                </c:pt>
                <c:pt idx="7">
                  <c:v>25</c:v>
                </c:pt>
                <c:pt idx="8">
                  <c:v>33</c:v>
                </c:pt>
                <c:pt idx="9">
                  <c:v>41</c:v>
                </c:pt>
                <c:pt idx="13">
                  <c:v>37</c:v>
                </c:pt>
                <c:pt idx="14">
                  <c:v>38</c:v>
                </c:pt>
              </c:numCache>
            </c:numRef>
          </c:val>
        </c:ser>
        <c:ser>
          <c:idx val="1"/>
          <c:order val="1"/>
          <c:tx>
            <c:v>Czech Rep</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data'!$E$34:$E$48</c:f>
              <c:numCache>
                <c:formatCode>General</c:formatCode>
                <c:ptCount val="15"/>
                <c:pt idx="0">
                  <c:v>51</c:v>
                </c:pt>
                <c:pt idx="1">
                  <c:v>41</c:v>
                </c:pt>
                <c:pt idx="2">
                  <c:v>33</c:v>
                </c:pt>
                <c:pt idx="3">
                  <c:v>36</c:v>
                </c:pt>
                <c:pt idx="4">
                  <c:v>41</c:v>
                </c:pt>
                <c:pt idx="5">
                  <c:v>43</c:v>
                </c:pt>
                <c:pt idx="6">
                  <c:v>41</c:v>
                </c:pt>
                <c:pt idx="7">
                  <c:v>40</c:v>
                </c:pt>
                <c:pt idx="8">
                  <c:v>42.5</c:v>
                </c:pt>
                <c:pt idx="13">
                  <c:v>52</c:v>
                </c:pt>
                <c:pt idx="14">
                  <c:v>56</c:v>
                </c:pt>
              </c:numCache>
            </c:numRef>
          </c:val>
        </c:ser>
        <c:ser>
          <c:idx val="2"/>
          <c:order val="2"/>
          <c:tx>
            <c:v>Romania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data'!$E$130:$E$144</c:f>
              <c:numCache>
                <c:formatCode>General</c:formatCode>
                <c:ptCount val="15"/>
                <c:pt idx="0">
                  <c:v>35</c:v>
                </c:pt>
                <c:pt idx="1">
                  <c:v>38</c:v>
                </c:pt>
                <c:pt idx="2">
                  <c:v>43</c:v>
                </c:pt>
                <c:pt idx="3">
                  <c:v>35</c:v>
                </c:pt>
                <c:pt idx="4">
                  <c:v>36</c:v>
                </c:pt>
                <c:pt idx="5">
                  <c:v>35</c:v>
                </c:pt>
                <c:pt idx="6">
                  <c:v>36</c:v>
                </c:pt>
                <c:pt idx="7">
                  <c:v>38</c:v>
                </c:pt>
                <c:pt idx="8">
                  <c:v>37.5</c:v>
                </c:pt>
                <c:pt idx="9">
                  <c:v>37</c:v>
                </c:pt>
                <c:pt idx="13">
                  <c:v>51</c:v>
                </c:pt>
                <c:pt idx="14">
                  <c:v>49</c:v>
                </c:pt>
              </c:numCache>
            </c:numRef>
          </c:val>
        </c:ser>
        <c:ser>
          <c:idx val="3"/>
          <c:order val="3"/>
          <c:tx>
            <c:v>Poland</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data'!$E$114:$E$128</c:f>
              <c:numCache>
                <c:formatCode>General</c:formatCode>
                <c:ptCount val="15"/>
                <c:pt idx="0">
                  <c:v>43</c:v>
                </c:pt>
                <c:pt idx="1">
                  <c:v>47</c:v>
                </c:pt>
                <c:pt idx="2">
                  <c:v>42</c:v>
                </c:pt>
                <c:pt idx="3">
                  <c:v>39</c:v>
                </c:pt>
                <c:pt idx="4">
                  <c:v>45</c:v>
                </c:pt>
                <c:pt idx="5">
                  <c:v>50</c:v>
                </c:pt>
                <c:pt idx="6">
                  <c:v>56</c:v>
                </c:pt>
                <c:pt idx="7">
                  <c:v>49</c:v>
                </c:pt>
                <c:pt idx="8">
                  <c:v>52</c:v>
                </c:pt>
                <c:pt idx="9">
                  <c:v>55</c:v>
                </c:pt>
                <c:pt idx="13">
                  <c:v>56</c:v>
                </c:pt>
                <c:pt idx="14">
                  <c:v>51</c:v>
                </c:pt>
              </c:numCache>
            </c:numRef>
          </c:val>
        </c:ser>
        <c:ser>
          <c:idx val="4"/>
          <c:order val="4"/>
          <c:tx>
            <c:v>Hungary</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data'!$E$66:$E$80</c:f>
              <c:numCache>
                <c:formatCode>General</c:formatCode>
                <c:ptCount val="15"/>
                <c:pt idx="0">
                  <c:v>49</c:v>
                </c:pt>
                <c:pt idx="1">
                  <c:v>48</c:v>
                </c:pt>
                <c:pt idx="2">
                  <c:v>48</c:v>
                </c:pt>
                <c:pt idx="3">
                  <c:v>51</c:v>
                </c:pt>
                <c:pt idx="4">
                  <c:v>55</c:v>
                </c:pt>
                <c:pt idx="5">
                  <c:v>56</c:v>
                </c:pt>
                <c:pt idx="6">
                  <c:v>49</c:v>
                </c:pt>
                <c:pt idx="7">
                  <c:v>45</c:v>
                </c:pt>
                <c:pt idx="8">
                  <c:v>52.5</c:v>
                </c:pt>
                <c:pt idx="9">
                  <c:v>60</c:v>
                </c:pt>
                <c:pt idx="13">
                  <c:v>54</c:v>
                </c:pt>
                <c:pt idx="14">
                  <c:v>55</c:v>
                </c:pt>
              </c:numCache>
            </c:numRef>
          </c:val>
        </c:ser>
        <c:ser>
          <c:idx val="5"/>
          <c:order val="5"/>
          <c:tx>
            <c:v>Slovakia</c:v>
          </c:tx>
          <c:cat>
            <c:numRef>
              <c:f>'trust data'!$A$146:$A$160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'trust data'!$E$146:$E$160</c:f>
              <c:numCache>
                <c:formatCode>General</c:formatCode>
                <c:ptCount val="15"/>
                <c:pt idx="0">
                  <c:v>28</c:v>
                </c:pt>
                <c:pt idx="1">
                  <c:v>27</c:v>
                </c:pt>
                <c:pt idx="2">
                  <c:v>31</c:v>
                </c:pt>
                <c:pt idx="3">
                  <c:v>34</c:v>
                </c:pt>
                <c:pt idx="4">
                  <c:v>35</c:v>
                </c:pt>
                <c:pt idx="5">
                  <c:v>43</c:v>
                </c:pt>
                <c:pt idx="6">
                  <c:v>34</c:v>
                </c:pt>
                <c:pt idx="7">
                  <c:v>36</c:v>
                </c:pt>
                <c:pt idx="8">
                  <c:v>41.5</c:v>
                </c:pt>
                <c:pt idx="9">
                  <c:v>47</c:v>
                </c:pt>
                <c:pt idx="13">
                  <c:v>41</c:v>
                </c:pt>
                <c:pt idx="14">
                  <c:v>43</c:v>
                </c:pt>
              </c:numCache>
            </c:numRef>
          </c:val>
        </c:ser>
        <c:marker val="1"/>
        <c:axId val="374701056"/>
        <c:axId val="374711424"/>
      </c:lineChart>
      <c:dateAx>
        <c:axId val="374701056"/>
        <c:scaling>
          <c:orientation val="minMax"/>
        </c:scaling>
        <c:axPos val="b"/>
        <c:title>
          <c:tx>
            <c:rich>
              <a:bodyPr/>
              <a:lstStyle/>
              <a:p>
                <a:pPr>
                  <a:defRPr/>
                </a:pPr>
                <a:r>
                  <a:rPr lang="en-US"/>
                  <a:t>Year</a:t>
                </a:r>
              </a:p>
            </c:rich>
          </c:tx>
        </c:title>
        <c:numFmt formatCode="General" sourceLinked="1"/>
        <c:tickLblPos val="low"/>
        <c:crossAx val="374711424"/>
        <c:crosses val="autoZero"/>
        <c:lblOffset val="100"/>
        <c:baseTimeUnit val="days"/>
      </c:dateAx>
      <c:valAx>
        <c:axId val="374711424"/>
        <c:scaling>
          <c:orientation val="minMax"/>
          <c:max val="65"/>
          <c:min val="20"/>
        </c:scaling>
        <c:axPos val="l"/>
        <c:majorGridlines/>
        <c:title>
          <c:tx>
            <c:rich>
              <a:bodyPr rot="-5400000" vert="horz"/>
              <a:lstStyle/>
              <a:p>
                <a:pPr>
                  <a:defRPr/>
                </a:pPr>
                <a:r>
                  <a:rPr lang="en-US"/>
                  <a:t>% say can trust police</a:t>
                </a:r>
              </a:p>
            </c:rich>
          </c:tx>
        </c:title>
        <c:numFmt formatCode="General" sourceLinked="1"/>
        <c:tickLblPos val="nextTo"/>
        <c:crossAx val="374701056"/>
        <c:crosses val="autoZero"/>
        <c:crossBetween val="between"/>
      </c:valAx>
    </c:plotArea>
    <c:legend>
      <c:legendPos val="r"/>
    </c:legend>
    <c:plotVisOnly val="1"/>
    <c:dispBlanksAs val="span"/>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Comparative Corruption Measures</a:t>
            </a:r>
          </a:p>
        </c:rich>
      </c:tx>
    </c:title>
    <c:plotArea>
      <c:layout/>
      <c:lineChart>
        <c:grouping val="standard"/>
        <c:ser>
          <c:idx val="0"/>
          <c:order val="0"/>
          <c:tx>
            <c:strRef>
              <c:f>'[Albania_Romania_Bulgaria (Autosaved).xlsx]CPI'!$B$2</c:f>
              <c:strCache>
                <c:ptCount val="1"/>
                <c:pt idx="0">
                  <c:v>Albania</c:v>
                </c:pt>
              </c:strCache>
            </c:strRef>
          </c:tx>
          <c:cat>
            <c:numRef>
              <c:f>'[Albania_Romania_Bulgaria (Autosaved).xlsx]CPI'!$A$3:$A$23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'[Albania_Romania_Bulgaria (Autosaved).xlsx]CPI'!$B$3:$B$23</c:f>
              <c:numCache>
                <c:formatCode>General</c:formatCode>
                <c:ptCount val="21"/>
                <c:pt idx="4">
                  <c:v>7.7</c:v>
                </c:pt>
                <c:pt idx="5">
                  <c:v>7.7</c:v>
                </c:pt>
                <c:pt idx="6">
                  <c:v>7.6</c:v>
                </c:pt>
                <c:pt idx="7">
                  <c:v>7.5</c:v>
                </c:pt>
                <c:pt idx="8">
                  <c:v>7.5</c:v>
                </c:pt>
                <c:pt idx="9">
                  <c:v>7.5</c:v>
                </c:pt>
                <c:pt idx="10">
                  <c:v>7.6</c:v>
                </c:pt>
                <c:pt idx="11">
                  <c:v>7.4</c:v>
                </c:pt>
                <c:pt idx="12">
                  <c:v>7.1</c:v>
                </c:pt>
                <c:pt idx="13">
                  <c:v>6.6</c:v>
                </c:pt>
                <c:pt idx="14">
                  <c:v>6.8</c:v>
                </c:pt>
                <c:pt idx="15">
                  <c:v>6.7</c:v>
                </c:pt>
                <c:pt idx="16">
                  <c:v>6.9</c:v>
                </c:pt>
                <c:pt idx="17">
                  <c:v>6.7</c:v>
                </c:pt>
                <c:pt idx="18">
                  <c:v>6.9</c:v>
                </c:pt>
                <c:pt idx="19">
                  <c:v>6.7</c:v>
                </c:pt>
                <c:pt idx="20">
                  <c:v>6.4</c:v>
                </c:pt>
              </c:numCache>
            </c:numRef>
          </c:val>
        </c:ser>
        <c:ser>
          <c:idx val="1"/>
          <c:order val="1"/>
          <c:tx>
            <c:strRef>
              <c:f>'[Albania_Romania_Bulgaria (Autosaved).xlsx]CPI'!$C$2</c:f>
              <c:strCache>
                <c:ptCount val="1"/>
                <c:pt idx="0">
                  <c:v>Bulgaria</c:v>
                </c:pt>
              </c:strCache>
            </c:strRef>
          </c:tx>
          <c:cat>
            <c:numRef>
              <c:f>'[Albania_Romania_Bulgaria (Autosaved).xlsx]CPI'!$A$3:$A$23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'[Albania_Romania_Bulgaria (Autosaved).xlsx]CPI'!$C$3:$C$23</c:f>
              <c:numCache>
                <c:formatCode>General</c:formatCode>
                <c:ptCount val="21"/>
                <c:pt idx="2">
                  <c:v>6.5</c:v>
                </c:pt>
                <c:pt idx="3">
                  <c:v>7.1</c:v>
                </c:pt>
                <c:pt idx="4">
                  <c:v>6.7</c:v>
                </c:pt>
                <c:pt idx="5">
                  <c:v>6.5</c:v>
                </c:pt>
                <c:pt idx="6">
                  <c:v>6.1</c:v>
                </c:pt>
                <c:pt idx="7">
                  <c:v>6</c:v>
                </c:pt>
                <c:pt idx="8">
                  <c:v>6.1</c:v>
                </c:pt>
                <c:pt idx="9">
                  <c:v>5.9</c:v>
                </c:pt>
                <c:pt idx="10">
                  <c:v>6</c:v>
                </c:pt>
                <c:pt idx="11">
                  <c:v>6</c:v>
                </c:pt>
                <c:pt idx="12">
                  <c:v>5.9</c:v>
                </c:pt>
                <c:pt idx="13">
                  <c:v>6.4</c:v>
                </c:pt>
                <c:pt idx="14">
                  <c:v>6.2</c:v>
                </c:pt>
                <c:pt idx="15">
                  <c:v>6.4</c:v>
                </c:pt>
                <c:pt idx="16">
                  <c:v>6.7</c:v>
                </c:pt>
                <c:pt idx="17">
                  <c:v>5.9</c:v>
                </c:pt>
                <c:pt idx="18">
                  <c:v>5.9</c:v>
                </c:pt>
                <c:pt idx="19">
                  <c:v>5.7</c:v>
                </c:pt>
                <c:pt idx="20">
                  <c:v>5.9</c:v>
                </c:pt>
              </c:numCache>
            </c:numRef>
          </c:val>
        </c:ser>
        <c:ser>
          <c:idx val="2"/>
          <c:order val="2"/>
          <c:tx>
            <c:strRef>
              <c:f>'[Albania_Romania_Bulgaria (Autosaved).xlsx]CPI'!$D$2</c:f>
              <c:strCache>
                <c:ptCount val="1"/>
                <c:pt idx="0">
                  <c:v>Romania</c:v>
                </c:pt>
              </c:strCache>
            </c:strRef>
          </c:tx>
          <c:cat>
            <c:numRef>
              <c:f>'[Albania_Romania_Bulgaria (Autosaved).xlsx]CPI'!$A$3:$A$23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'[Albania_Romania_Bulgaria (Autosaved).xlsx]CPI'!$D$3:$D$23</c:f>
              <c:numCache>
                <c:formatCode>General</c:formatCode>
                <c:ptCount val="21"/>
                <c:pt idx="3">
                  <c:v>7</c:v>
                </c:pt>
                <c:pt idx="4">
                  <c:v>6.7</c:v>
                </c:pt>
                <c:pt idx="5">
                  <c:v>7.1</c:v>
                </c:pt>
                <c:pt idx="6">
                  <c:v>7.2</c:v>
                </c:pt>
                <c:pt idx="7">
                  <c:v>7.4</c:v>
                </c:pt>
                <c:pt idx="8">
                  <c:v>7.2</c:v>
                </c:pt>
                <c:pt idx="9">
                  <c:v>7.1</c:v>
                </c:pt>
                <c:pt idx="10">
                  <c:v>7</c:v>
                </c:pt>
                <c:pt idx="11">
                  <c:v>6.9</c:v>
                </c:pt>
                <c:pt idx="12">
                  <c:v>6.3</c:v>
                </c:pt>
                <c:pt idx="13">
                  <c:v>6.2</c:v>
                </c:pt>
                <c:pt idx="14">
                  <c:v>6.2</c:v>
                </c:pt>
                <c:pt idx="15">
                  <c:v>6.3</c:v>
                </c:pt>
                <c:pt idx="16">
                  <c:v>6.4</c:v>
                </c:pt>
                <c:pt idx="17">
                  <c:v>5.6</c:v>
                </c:pt>
                <c:pt idx="18">
                  <c:v>5.7</c:v>
                </c:pt>
                <c:pt idx="19">
                  <c:v>5.7</c:v>
                </c:pt>
                <c:pt idx="20">
                  <c:v>5.4</c:v>
                </c:pt>
              </c:numCache>
            </c:numRef>
          </c:val>
        </c:ser>
        <c:ser>
          <c:idx val="3"/>
          <c:order val="3"/>
          <c:tx>
            <c:strRef>
              <c:f>'[Albania_Romania_Bulgaria (Autosaved).xlsx]CPI'!$E$2</c:f>
              <c:strCache>
                <c:ptCount val="1"/>
                <c:pt idx="0">
                  <c:v>Hungary</c:v>
                </c:pt>
              </c:strCache>
            </c:strRef>
          </c:tx>
          <c:cat>
            <c:numRef>
              <c:f>'[Albania_Romania_Bulgaria (Autosaved).xlsx]CPI'!$A$3:$A$23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'[Albania_Romania_Bulgaria (Autosaved).xlsx]CPI'!$E$3:$E$23</c:f>
              <c:numCache>
                <c:formatCode>General</c:formatCode>
                <c:ptCount val="21"/>
                <c:pt idx="0">
                  <c:v>5.88</c:v>
                </c:pt>
                <c:pt idx="1">
                  <c:v>5.14</c:v>
                </c:pt>
                <c:pt idx="2">
                  <c:v>4.8199999999999976</c:v>
                </c:pt>
                <c:pt idx="3">
                  <c:v>5</c:v>
                </c:pt>
                <c:pt idx="4">
                  <c:v>4.9000000000000004</c:v>
                </c:pt>
                <c:pt idx="5">
                  <c:v>4.8</c:v>
                </c:pt>
                <c:pt idx="6">
                  <c:v>4.7</c:v>
                </c:pt>
                <c:pt idx="7">
                  <c:v>5.0999999999999996</c:v>
                </c:pt>
                <c:pt idx="8">
                  <c:v>5.2</c:v>
                </c:pt>
                <c:pt idx="9">
                  <c:v>5.2</c:v>
                </c:pt>
                <c:pt idx="10">
                  <c:v>5</c:v>
                </c:pt>
                <c:pt idx="11">
                  <c:v>4.8</c:v>
                </c:pt>
                <c:pt idx="12">
                  <c:v>4.7</c:v>
                </c:pt>
                <c:pt idx="13">
                  <c:v>4.9000000000000004</c:v>
                </c:pt>
                <c:pt idx="14">
                  <c:v>4.9000000000000004</c:v>
                </c:pt>
                <c:pt idx="15">
                  <c:v>5.3</c:v>
                </c:pt>
                <c:pt idx="16">
                  <c:v>5.4</c:v>
                </c:pt>
                <c:pt idx="17">
                  <c:v>4.5</c:v>
                </c:pt>
                <c:pt idx="18">
                  <c:v>4.5</c:v>
                </c:pt>
                <c:pt idx="19">
                  <c:v>4.5999999999999996</c:v>
                </c:pt>
                <c:pt idx="20">
                  <c:v>4.5999999999999996</c:v>
                </c:pt>
              </c:numCache>
            </c:numRef>
          </c:val>
        </c:ser>
        <c:ser>
          <c:idx val="4"/>
          <c:order val="4"/>
          <c:tx>
            <c:strRef>
              <c:f>'[Albania_Romania_Bulgaria (Autosaved).xlsx]CPI'!$F$2</c:f>
              <c:strCache>
                <c:ptCount val="1"/>
                <c:pt idx="0">
                  <c:v>Poland</c:v>
                </c:pt>
              </c:strCache>
            </c:strRef>
          </c:tx>
          <c:cat>
            <c:numRef>
              <c:f>'[Albania_Romania_Bulgaria (Autosaved).xlsx]CPI'!$A$3:$A$23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'[Albania_Romania_Bulgaria (Autosaved).xlsx]CPI'!$F$3:$F$23</c:f>
              <c:numCache>
                <c:formatCode>General</c:formatCode>
                <c:ptCount val="21"/>
                <c:pt idx="1">
                  <c:v>4.4300000000000024</c:v>
                </c:pt>
                <c:pt idx="2">
                  <c:v>4.92</c:v>
                </c:pt>
                <c:pt idx="3">
                  <c:v>5.4</c:v>
                </c:pt>
                <c:pt idx="4">
                  <c:v>5.8</c:v>
                </c:pt>
                <c:pt idx="5">
                  <c:v>5.9</c:v>
                </c:pt>
                <c:pt idx="6">
                  <c:v>5.9</c:v>
                </c:pt>
                <c:pt idx="7">
                  <c:v>6</c:v>
                </c:pt>
                <c:pt idx="8">
                  <c:v>6.4</c:v>
                </c:pt>
                <c:pt idx="9">
                  <c:v>6.5</c:v>
                </c:pt>
                <c:pt idx="10">
                  <c:v>6.6</c:v>
                </c:pt>
                <c:pt idx="11">
                  <c:v>6.3</c:v>
                </c:pt>
                <c:pt idx="12">
                  <c:v>5.8</c:v>
                </c:pt>
                <c:pt idx="13">
                  <c:v>5.4</c:v>
                </c:pt>
                <c:pt idx="14">
                  <c:v>5</c:v>
                </c:pt>
                <c:pt idx="15">
                  <c:v>4.7</c:v>
                </c:pt>
                <c:pt idx="16">
                  <c:v>4.5</c:v>
                </c:pt>
                <c:pt idx="17">
                  <c:v>4.2</c:v>
                </c:pt>
                <c:pt idx="18">
                  <c:v>4.2</c:v>
                </c:pt>
                <c:pt idx="19">
                  <c:v>4</c:v>
                </c:pt>
                <c:pt idx="20">
                  <c:v>3.9</c:v>
                </c:pt>
              </c:numCache>
            </c:numRef>
          </c:val>
        </c:ser>
        <c:marker val="1"/>
        <c:axId val="217407872"/>
        <c:axId val="217409792"/>
      </c:lineChart>
      <c:catAx>
        <c:axId val="217407872"/>
        <c:scaling>
          <c:orientation val="minMax"/>
        </c:scaling>
        <c:axPos val="b"/>
        <c:title>
          <c:tx>
            <c:rich>
              <a:bodyPr/>
              <a:lstStyle/>
              <a:p>
                <a:pPr>
                  <a:defRPr/>
                </a:pPr>
                <a:r>
                  <a:rPr lang="en-US"/>
                  <a:t>Year</a:t>
                </a:r>
              </a:p>
            </c:rich>
          </c:tx>
        </c:title>
        <c:numFmt formatCode="General" sourceLinked="1"/>
        <c:tickLblPos val="nextTo"/>
        <c:crossAx val="217409792"/>
        <c:crosses val="autoZero"/>
        <c:auto val="1"/>
        <c:lblAlgn val="ctr"/>
        <c:lblOffset val="100"/>
      </c:catAx>
      <c:valAx>
        <c:axId val="217409792"/>
        <c:scaling>
          <c:orientation val="minMax"/>
          <c:max val="8"/>
          <c:min val="4"/>
        </c:scaling>
        <c:axPos val="l"/>
        <c:majorGridlines/>
        <c:title>
          <c:tx>
            <c:rich>
              <a:bodyPr rot="-5400000" vert="horz"/>
              <a:lstStyle/>
              <a:p>
                <a:pPr>
                  <a:defRPr/>
                </a:pPr>
                <a:r>
                  <a:rPr lang="en-US"/>
                  <a:t>Level of Corruption </a:t>
                </a:r>
              </a:p>
            </c:rich>
          </c:tx>
        </c:title>
        <c:numFmt formatCode="General" sourceLinked="1"/>
        <c:tickLblPos val="nextTo"/>
        <c:crossAx val="217407872"/>
        <c:crosses val="autoZero"/>
        <c:crossBetween val="between"/>
      </c:valAx>
    </c:plotArea>
    <c:legend>
      <c:legendPos val="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Comparative Democracy Measures</a:t>
            </a:r>
          </a:p>
        </c:rich>
      </c:tx>
    </c:title>
    <c:plotArea>
      <c:layout/>
      <c:lineChart>
        <c:grouping val="standard"/>
        <c:ser>
          <c:idx val="0"/>
          <c:order val="0"/>
          <c:tx>
            <c:strRef>
              <c:f>'[Albania_Romania_Bulgaria (Autosaved).xlsx]Dem'!$C$1</c:f>
              <c:strCache>
                <c:ptCount val="1"/>
                <c:pt idx="0">
                  <c:v>Albania</c:v>
                </c:pt>
              </c:strCache>
            </c:strRef>
          </c:tx>
          <c:cat>
            <c:strRef>
              <c:f>'[Albania_Romania_Bulgaria (Autosaved).xlsx]Dem'!$A$2:$B$22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'[Albania_Romania_Bulgaria (Autosaved).xlsx]Dem'!$C$2:$C$22</c:f>
              <c:numCache>
                <c:formatCode>General</c:formatCode>
                <c:ptCount val="21"/>
                <c:pt idx="0">
                  <c:v>3.5</c:v>
                </c:pt>
                <c:pt idx="1">
                  <c:v>3.5</c:v>
                </c:pt>
                <c:pt idx="2">
                  <c:v>2.4499999999999997</c:v>
                </c:pt>
                <c:pt idx="3">
                  <c:v>2.25</c:v>
                </c:pt>
                <c:pt idx="4">
                  <c:v>2.62</c:v>
                </c:pt>
                <c:pt idx="5">
                  <c:v>2.25</c:v>
                </c:pt>
                <c:pt idx="6">
                  <c:v>2.58</c:v>
                </c:pt>
                <c:pt idx="7">
                  <c:v>2.75</c:v>
                </c:pt>
                <c:pt idx="8">
                  <c:v>2.8299999999999987</c:v>
                </c:pt>
                <c:pt idx="9">
                  <c:v>2.8699999999999997</c:v>
                </c:pt>
                <c:pt idx="10">
                  <c:v>2.96</c:v>
                </c:pt>
                <c:pt idx="11">
                  <c:v>3.21</c:v>
                </c:pt>
                <c:pt idx="12">
                  <c:v>3.18</c:v>
                </c:pt>
                <c:pt idx="13">
                  <c:v>3.18</c:v>
                </c:pt>
                <c:pt idx="14">
                  <c:v>3.18</c:v>
                </c:pt>
                <c:pt idx="15">
                  <c:v>3.07</c:v>
                </c:pt>
                <c:pt idx="16">
                  <c:v>2.96</c:v>
                </c:pt>
                <c:pt idx="17">
                  <c:v>2.86</c:v>
                </c:pt>
                <c:pt idx="18">
                  <c:v>2.75</c:v>
                </c:pt>
                <c:pt idx="19">
                  <c:v>2.82</c:v>
                </c:pt>
                <c:pt idx="20">
                  <c:v>2.86</c:v>
                </c:pt>
              </c:numCache>
            </c:numRef>
          </c:val>
        </c:ser>
        <c:ser>
          <c:idx val="1"/>
          <c:order val="1"/>
          <c:tx>
            <c:strRef>
              <c:f>'[Albania_Romania_Bulgaria (Autosaved).xlsx]Dem'!$D$1</c:f>
              <c:strCache>
                <c:ptCount val="1"/>
                <c:pt idx="0">
                  <c:v>Bulgaria</c:v>
                </c:pt>
              </c:strCache>
            </c:strRef>
          </c:tx>
          <c:cat>
            <c:strRef>
              <c:f>'[Albania_Romania_Bulgaria (Autosaved).xlsx]Dem'!$A$2:$B$22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'[Albania_Romania_Bulgaria (Autosaved).xlsx]Dem'!$D$2:$D$22</c:f>
              <c:numCache>
                <c:formatCode>General</c:formatCode>
                <c:ptCount val="21"/>
                <c:pt idx="2">
                  <c:v>3.1</c:v>
                </c:pt>
                <c:pt idx="3">
                  <c:v>3.4499999999999997</c:v>
                </c:pt>
                <c:pt idx="4">
                  <c:v>3.69</c:v>
                </c:pt>
                <c:pt idx="5">
                  <c:v>3.42</c:v>
                </c:pt>
                <c:pt idx="6">
                  <c:v>3.58</c:v>
                </c:pt>
                <c:pt idx="7">
                  <c:v>3.67</c:v>
                </c:pt>
                <c:pt idx="8">
                  <c:v>3.62</c:v>
                </c:pt>
                <c:pt idx="9">
                  <c:v>3.75</c:v>
                </c:pt>
                <c:pt idx="10">
                  <c:v>3.82</c:v>
                </c:pt>
                <c:pt idx="11">
                  <c:v>4.07</c:v>
                </c:pt>
                <c:pt idx="12">
                  <c:v>4.1099999999999985</c:v>
                </c:pt>
                <c:pt idx="13">
                  <c:v>4.1399999999999997</c:v>
                </c:pt>
                <c:pt idx="14">
                  <c:v>3.96</c:v>
                </c:pt>
                <c:pt idx="15">
                  <c:v>3.96</c:v>
                </c:pt>
                <c:pt idx="16">
                  <c:v>3.9299999999999997</c:v>
                </c:pt>
                <c:pt idx="17">
                  <c:v>3.86</c:v>
                </c:pt>
                <c:pt idx="18">
                  <c:v>3.82</c:v>
                </c:pt>
                <c:pt idx="19">
                  <c:v>3.75</c:v>
                </c:pt>
                <c:pt idx="20">
                  <c:v>3.71</c:v>
                </c:pt>
              </c:numCache>
            </c:numRef>
          </c:val>
        </c:ser>
        <c:ser>
          <c:idx val="2"/>
          <c:order val="2"/>
          <c:tx>
            <c:strRef>
              <c:f>'[Albania_Romania_Bulgaria (Autosaved).xlsx]Dem'!$E$1</c:f>
              <c:strCache>
                <c:ptCount val="1"/>
                <c:pt idx="0">
                  <c:v>Romania</c:v>
                </c:pt>
              </c:strCache>
            </c:strRef>
          </c:tx>
          <c:cat>
            <c:strRef>
              <c:f>'[Albania_Romania_Bulgaria (Autosaved).xlsx]Dem'!$A$2:$B$22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'[Albania_Romania_Bulgaria (Autosaved).xlsx]Dem'!$E$2:$E$22</c:f>
              <c:numCache>
                <c:formatCode>General</c:formatCode>
                <c:ptCount val="21"/>
                <c:pt idx="0">
                  <c:v>3.5</c:v>
                </c:pt>
                <c:pt idx="1">
                  <c:v>3.5</c:v>
                </c:pt>
                <c:pt idx="2">
                  <c:v>3.05</c:v>
                </c:pt>
                <c:pt idx="3">
                  <c:v>3.15</c:v>
                </c:pt>
                <c:pt idx="4">
                  <c:v>3.8099999999999987</c:v>
                </c:pt>
                <c:pt idx="5">
                  <c:v>3.46</c:v>
                </c:pt>
                <c:pt idx="6">
                  <c:v>3.3299999999999987</c:v>
                </c:pt>
                <c:pt idx="7">
                  <c:v>3.29</c:v>
                </c:pt>
                <c:pt idx="8">
                  <c:v>3.3699999999999997</c:v>
                </c:pt>
                <c:pt idx="9">
                  <c:v>3.42</c:v>
                </c:pt>
                <c:pt idx="10">
                  <c:v>3.61</c:v>
                </c:pt>
                <c:pt idx="11">
                  <c:v>3.61</c:v>
                </c:pt>
                <c:pt idx="12">
                  <c:v>3.71</c:v>
                </c:pt>
                <c:pt idx="13">
                  <c:v>3.64</c:v>
                </c:pt>
                <c:pt idx="14">
                  <c:v>3.64</c:v>
                </c:pt>
                <c:pt idx="15">
                  <c:v>3.54</c:v>
                </c:pt>
                <c:pt idx="16">
                  <c:v>3.57</c:v>
                </c:pt>
                <c:pt idx="17">
                  <c:v>3.57</c:v>
                </c:pt>
                <c:pt idx="18">
                  <c:v>3.5</c:v>
                </c:pt>
                <c:pt idx="19">
                  <c:v>3.54</c:v>
                </c:pt>
                <c:pt idx="20">
                  <c:v>3.54</c:v>
                </c:pt>
              </c:numCache>
            </c:numRef>
          </c:val>
        </c:ser>
        <c:ser>
          <c:idx val="3"/>
          <c:order val="3"/>
          <c:tx>
            <c:strRef>
              <c:f>'[Albania_Romania_Bulgaria (Autosaved).xlsx]Dem'!$F$1</c:f>
              <c:strCache>
                <c:ptCount val="1"/>
                <c:pt idx="0">
                  <c:v>Poland</c:v>
                </c:pt>
              </c:strCache>
            </c:strRef>
          </c:tx>
          <c:cat>
            <c:strRef>
              <c:f>'[Albania_Romania_Bulgaria (Autosaved).xlsx]Dem'!$A$2:$B$22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'[Albania_Romania_Bulgaria (Autosaved).xlsx]Dem'!$F$2:$F$22</c:f>
              <c:numCache>
                <c:formatCode>General</c:formatCode>
                <c:ptCount val="21"/>
                <c:pt idx="0">
                  <c:v>5</c:v>
                </c:pt>
                <c:pt idx="1">
                  <c:v>5.5</c:v>
                </c:pt>
                <c:pt idx="2">
                  <c:v>5.5</c:v>
                </c:pt>
                <c:pt idx="3">
                  <c:v>5.55</c:v>
                </c:pt>
                <c:pt idx="4">
                  <c:v>5.56</c:v>
                </c:pt>
                <c:pt idx="5">
                  <c:v>5.42</c:v>
                </c:pt>
                <c:pt idx="6">
                  <c:v>5.42</c:v>
                </c:pt>
                <c:pt idx="7">
                  <c:v>5.37</c:v>
                </c:pt>
                <c:pt idx="8">
                  <c:v>5.25</c:v>
                </c:pt>
                <c:pt idx="9">
                  <c:v>5.25</c:v>
                </c:pt>
                <c:pt idx="10">
                  <c:v>5</c:v>
                </c:pt>
                <c:pt idx="11">
                  <c:v>4.8599999999999977</c:v>
                </c:pt>
                <c:pt idx="12">
                  <c:v>4.6399999999999997</c:v>
                </c:pt>
                <c:pt idx="13">
                  <c:v>4.6099999999999977</c:v>
                </c:pt>
                <c:pt idx="14">
                  <c:v>4.75</c:v>
                </c:pt>
                <c:pt idx="15">
                  <c:v>4.68</c:v>
                </c:pt>
                <c:pt idx="16">
                  <c:v>4.79</c:v>
                </c:pt>
                <c:pt idx="17">
                  <c:v>4.8599999999999977</c:v>
                </c:pt>
                <c:pt idx="18">
                  <c:v>4.8199999999999976</c:v>
                </c:pt>
                <c:pt idx="19">
                  <c:v>4.8199999999999976</c:v>
                </c:pt>
                <c:pt idx="20">
                  <c:v>4.79</c:v>
                </c:pt>
              </c:numCache>
            </c:numRef>
          </c:val>
        </c:ser>
        <c:ser>
          <c:idx val="4"/>
          <c:order val="4"/>
          <c:tx>
            <c:strRef>
              <c:f>'[Albania_Romania_Bulgaria (Autosaved).xlsx]Dem'!$G$1</c:f>
              <c:strCache>
                <c:ptCount val="1"/>
                <c:pt idx="0">
                  <c:v>Hungary</c:v>
                </c:pt>
              </c:strCache>
            </c:strRef>
          </c:tx>
          <c:cat>
            <c:strRef>
              <c:f>'[Albania_Romania_Bulgaria (Autosaved).xlsx]Dem'!$A$2:$B$22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'[Albania_Romania_Bulgaria (Autosaved).xlsx]Dem'!$G$2:$G$22</c:f>
              <c:numCache>
                <c:formatCode>General</c:formatCode>
                <c:ptCount val="21"/>
                <c:pt idx="2">
                  <c:v>5.5</c:v>
                </c:pt>
                <c:pt idx="3">
                  <c:v>5.5</c:v>
                </c:pt>
                <c:pt idx="4">
                  <c:v>5.25</c:v>
                </c:pt>
                <c:pt idx="5">
                  <c:v>5.1199999999999966</c:v>
                </c:pt>
                <c:pt idx="6">
                  <c:v>4.87</c:v>
                </c:pt>
                <c:pt idx="7">
                  <c:v>4.87</c:v>
                </c:pt>
                <c:pt idx="8">
                  <c:v>5.04</c:v>
                </c:pt>
                <c:pt idx="9">
                  <c:v>5.04</c:v>
                </c:pt>
                <c:pt idx="10">
                  <c:v>5.04</c:v>
                </c:pt>
                <c:pt idx="11">
                  <c:v>5</c:v>
                </c:pt>
                <c:pt idx="12">
                  <c:v>4.8599999999999977</c:v>
                </c:pt>
                <c:pt idx="13">
                  <c:v>4.8599999999999977</c:v>
                </c:pt>
                <c:pt idx="14">
                  <c:v>4.71</c:v>
                </c:pt>
                <c:pt idx="15">
                  <c:v>4.6099999999999977</c:v>
                </c:pt>
                <c:pt idx="16">
                  <c:v>4.3899999999999997</c:v>
                </c:pt>
                <c:pt idx="17">
                  <c:v>4.1399999999999997</c:v>
                </c:pt>
                <c:pt idx="18">
                  <c:v>4.1099999999999985</c:v>
                </c:pt>
                <c:pt idx="19">
                  <c:v>4.04</c:v>
                </c:pt>
                <c:pt idx="20">
                  <c:v>3.82</c:v>
                </c:pt>
              </c:numCache>
            </c:numRef>
          </c:val>
        </c:ser>
        <c:marker val="1"/>
        <c:axId val="374730752"/>
        <c:axId val="343152128"/>
      </c:lineChart>
      <c:catAx>
        <c:axId val="374730752"/>
        <c:scaling>
          <c:orientation val="minMax"/>
        </c:scaling>
        <c:axPos val="b"/>
        <c:title>
          <c:tx>
            <c:rich>
              <a:bodyPr/>
              <a:lstStyle/>
              <a:p>
                <a:pPr>
                  <a:defRPr/>
                </a:pPr>
                <a:r>
                  <a:rPr lang="en-US"/>
                  <a:t>Year</a:t>
                </a:r>
              </a:p>
            </c:rich>
          </c:tx>
        </c:title>
        <c:numFmt formatCode="General" sourceLinked="0"/>
        <c:tickLblPos val="nextTo"/>
        <c:crossAx val="343152128"/>
        <c:crosses val="autoZero"/>
        <c:auto val="1"/>
        <c:lblAlgn val="ctr"/>
        <c:lblOffset val="100"/>
      </c:catAx>
      <c:valAx>
        <c:axId val="343152128"/>
        <c:scaling>
          <c:orientation val="minMax"/>
          <c:min val="2"/>
        </c:scaling>
        <c:axPos val="l"/>
        <c:majorGridlines/>
        <c:title>
          <c:tx>
            <c:rich>
              <a:bodyPr rot="-5400000" vert="horz"/>
              <a:lstStyle/>
              <a:p>
                <a:pPr>
                  <a:defRPr/>
                </a:pPr>
                <a:r>
                  <a:rPr lang="en-US"/>
                  <a:t>Freedom House Democracy Score (inverse)</a:t>
                </a:r>
              </a:p>
            </c:rich>
          </c:tx>
        </c:title>
        <c:numFmt formatCode="General" sourceLinked="1"/>
        <c:tickLblPos val="nextTo"/>
        <c:crossAx val="374730752"/>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0.67387</cdr:x>
      <cdr:y>0.89189</cdr:y>
    </cdr:from>
    <cdr:to>
      <cdr:x>0.99646</cdr:x>
      <cdr:y>0.99942</cdr:y>
    </cdr:to>
    <cdr:sp macro="" textlink="">
      <cdr:nvSpPr>
        <cdr:cNvPr id="2" name="TextBox 1"/>
        <cdr:cNvSpPr txBox="1"/>
      </cdr:nvSpPr>
      <cdr:spPr>
        <a:xfrm xmlns:a="http://schemas.openxmlformats.org/drawingml/2006/main">
          <a:off x="3921745" y="2937409"/>
          <a:ext cx="1877389" cy="3541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Source:Eurobaromter</a:t>
          </a:r>
          <a:r>
            <a:rPr lang="en-US" sz="800" baseline="0"/>
            <a:t> Public Opinion </a:t>
          </a:r>
        </a:p>
        <a:p xmlns:a="http://schemas.openxmlformats.org/drawingml/2006/main">
          <a:r>
            <a:rPr lang="en-US" sz="800" baseline="0"/>
            <a:t>Analysis, various years</a:t>
          </a: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0.66824</cdr:x>
      <cdr:y>0.88413</cdr:y>
    </cdr:from>
    <cdr:to>
      <cdr:x>0.99987</cdr:x>
      <cdr:y>1</cdr:y>
    </cdr:to>
    <cdr:sp macro="" textlink="">
      <cdr:nvSpPr>
        <cdr:cNvPr id="2" name="TextBox 1"/>
        <cdr:cNvSpPr txBox="1"/>
      </cdr:nvSpPr>
      <cdr:spPr>
        <a:xfrm xmlns:a="http://schemas.openxmlformats.org/drawingml/2006/main">
          <a:off x="3946047" y="2840304"/>
          <a:ext cx="1958273" cy="3722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Source: Eurobarometer</a:t>
          </a:r>
          <a:r>
            <a:rPr lang="en-US" sz="800" baseline="0"/>
            <a:t> Public Opinion </a:t>
          </a:r>
        </a:p>
        <a:p xmlns:a="http://schemas.openxmlformats.org/drawingml/2006/main">
          <a:r>
            <a:rPr lang="en-US" sz="800" baseline="0"/>
            <a:t>Analysis,  various years</a:t>
          </a:r>
          <a:endParaRPr 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0.68572</cdr:x>
      <cdr:y>0.87798</cdr:y>
    </cdr:from>
    <cdr:to>
      <cdr:x>0.99314</cdr:x>
      <cdr:y>1</cdr:y>
    </cdr:to>
    <cdr:sp macro="" textlink="">
      <cdr:nvSpPr>
        <cdr:cNvPr id="2" name="TextBox 1"/>
        <cdr:cNvSpPr txBox="1"/>
      </cdr:nvSpPr>
      <cdr:spPr>
        <a:xfrm xmlns:a="http://schemas.openxmlformats.org/drawingml/2006/main">
          <a:off x="4043153" y="2678465"/>
          <a:ext cx="1812616" cy="3722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Source:</a:t>
          </a:r>
          <a:r>
            <a:rPr lang="en-US" sz="800" baseline="0"/>
            <a:t> Eurobarometer Public Opinion</a:t>
          </a:r>
        </a:p>
        <a:p xmlns:a="http://schemas.openxmlformats.org/drawingml/2006/main">
          <a:r>
            <a:rPr lang="en-US" sz="800" baseline="0"/>
            <a:t>Analysis,  various years</a:t>
          </a:r>
          <a:endParaRPr lang="en-US" sz="800"/>
        </a:p>
      </cdr:txBody>
    </cdr:sp>
  </cdr:relSizeAnchor>
</c:userShapes>
</file>

<file path=word/drawings/drawing4.xml><?xml version="1.0" encoding="utf-8"?>
<c:userShapes xmlns:c="http://schemas.openxmlformats.org/drawingml/2006/chart">
  <cdr:relSizeAnchor xmlns:cdr="http://schemas.openxmlformats.org/drawingml/2006/chartDrawing">
    <cdr:from>
      <cdr:x>0.68383</cdr:x>
      <cdr:y>0.8875</cdr:y>
    </cdr:from>
    <cdr:to>
      <cdr:x>0.97045</cdr:x>
      <cdr:y>0.99961</cdr:y>
    </cdr:to>
    <cdr:sp macro="" textlink="">
      <cdr:nvSpPr>
        <cdr:cNvPr id="2" name="TextBox 1"/>
        <cdr:cNvSpPr txBox="1"/>
      </cdr:nvSpPr>
      <cdr:spPr>
        <a:xfrm xmlns:a="http://schemas.openxmlformats.org/drawingml/2006/main">
          <a:off x="4035059" y="2872674"/>
          <a:ext cx="1691235" cy="3628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Source: Eurobarometer Public Opinion</a:t>
          </a:r>
        </a:p>
        <a:p xmlns:a="http://schemas.openxmlformats.org/drawingml/2006/main">
          <a:r>
            <a:rPr lang="en-US" sz="800"/>
            <a:t>Analysis,  various years</a:t>
          </a:r>
        </a:p>
      </cdr:txBody>
    </cdr:sp>
  </cdr:relSizeAnchor>
</c:userShapes>
</file>

<file path=word/drawings/drawing5.xml><?xml version="1.0" encoding="utf-8"?>
<c:userShapes xmlns:c="http://schemas.openxmlformats.org/drawingml/2006/chart">
  <cdr:relSizeAnchor xmlns:cdr="http://schemas.openxmlformats.org/drawingml/2006/chartDrawing">
    <cdr:from>
      <cdr:x>0.67917</cdr:x>
      <cdr:y>0.875</cdr:y>
    </cdr:from>
    <cdr:to>
      <cdr:x>0.99167</cdr:x>
      <cdr:y>1</cdr:y>
    </cdr:to>
    <cdr:sp macro="" textlink="">
      <cdr:nvSpPr>
        <cdr:cNvPr id="2" name="TextBox 1"/>
        <cdr:cNvSpPr txBox="1"/>
      </cdr:nvSpPr>
      <cdr:spPr>
        <a:xfrm xmlns:a="http://schemas.openxmlformats.org/drawingml/2006/main">
          <a:off x="3105150" y="2400300"/>
          <a:ext cx="142875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0.58333</cdr:x>
      <cdr:y>0.88831</cdr:y>
    </cdr:from>
    <cdr:to>
      <cdr:x>1</cdr:x>
      <cdr:y>1</cdr:y>
    </cdr:to>
    <cdr:sp macro="" textlink="">
      <cdr:nvSpPr>
        <cdr:cNvPr id="3" name="TextBox 2"/>
        <cdr:cNvSpPr txBox="1"/>
      </cdr:nvSpPr>
      <cdr:spPr>
        <a:xfrm xmlns:a="http://schemas.openxmlformats.org/drawingml/2006/main">
          <a:off x="2979911" y="2924175"/>
          <a:ext cx="2128537" cy="3676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Source: Transparency International,</a:t>
          </a:r>
        </a:p>
        <a:p xmlns:a="http://schemas.openxmlformats.org/drawingml/2006/main">
          <a:r>
            <a:rPr lang="en-US" sz="800"/>
            <a:t> Corruption Perception Index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7351</Words>
  <Characters>41905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Stan</dc:creator>
  <cp:lastModifiedBy>CynthiaHorne</cp:lastModifiedBy>
  <cp:revision>4</cp:revision>
  <dcterms:created xsi:type="dcterms:W3CDTF">2016-10-12T16:23:00Z</dcterms:created>
  <dcterms:modified xsi:type="dcterms:W3CDTF">2016-10-12T16:26:00Z</dcterms:modified>
</cp:coreProperties>
</file>